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E00" w14:textId="77777777" w:rsidR="002F6107" w:rsidRPr="004A2BDC" w:rsidRDefault="008408C6" w:rsidP="008408C6">
      <w:pPr>
        <w:jc w:val="center"/>
        <w:rPr>
          <w:rFonts w:ascii="Times New Roman" w:hAnsi="Times New Roman" w:cs="Times New Roman"/>
          <w:b/>
          <w:sz w:val="32"/>
          <w:lang w:val="az-Latn-AZ"/>
        </w:rPr>
      </w:pPr>
      <w:r w:rsidRPr="004A2BDC">
        <w:rPr>
          <w:rFonts w:ascii="Times New Roman" w:hAnsi="Times New Roman" w:cs="Times New Roman"/>
          <w:b/>
          <w:sz w:val="32"/>
          <w:lang w:val="az-Latn-AZ"/>
        </w:rPr>
        <w:t>Şəffaf Dövlət Satınalmaları Reytinqi 2016</w:t>
      </w:r>
    </w:p>
    <w:p w14:paraId="580B4D37" w14:textId="77777777" w:rsidR="008408C6" w:rsidRDefault="008408C6" w:rsidP="008408C6">
      <w:pPr>
        <w:jc w:val="center"/>
        <w:rPr>
          <w:rFonts w:ascii="Times New Roman" w:hAnsi="Times New Roman" w:cs="Times New Roman"/>
          <w:lang w:val="az-Latn-AZ"/>
        </w:rPr>
      </w:pPr>
    </w:p>
    <w:p w14:paraId="449E214E" w14:textId="35482EF7" w:rsidR="008408C6" w:rsidRPr="004A2BDC" w:rsidRDefault="004A2BDC" w:rsidP="008408C6">
      <w:pPr>
        <w:jc w:val="center"/>
        <w:rPr>
          <w:rFonts w:ascii="Times New Roman" w:hAnsi="Times New Roman" w:cs="Times New Roman"/>
          <w:i/>
          <w:sz w:val="32"/>
          <w:lang w:val="az-Latn-AZ"/>
        </w:rPr>
      </w:pPr>
      <w:r>
        <w:rPr>
          <w:rFonts w:ascii="Times New Roman" w:hAnsi="Times New Roman" w:cs="Times New Roman"/>
          <w:i/>
          <w:sz w:val="32"/>
          <w:lang w:val="az-Latn-AZ"/>
        </w:rPr>
        <w:t>Giriş</w:t>
      </w:r>
    </w:p>
    <w:p w14:paraId="01707D83" w14:textId="77777777" w:rsidR="008408C6" w:rsidRDefault="008408C6" w:rsidP="008408C6">
      <w:pPr>
        <w:jc w:val="center"/>
        <w:rPr>
          <w:rFonts w:ascii="Times New Roman" w:hAnsi="Times New Roman" w:cs="Times New Roman"/>
          <w:lang w:val="az-Latn-AZ"/>
        </w:rPr>
      </w:pPr>
    </w:p>
    <w:p w14:paraId="538BCBB4" w14:textId="77777777" w:rsidR="008408C6" w:rsidRDefault="008408C6" w:rsidP="008408C6">
      <w:pPr>
        <w:rPr>
          <w:rFonts w:ascii="Times New Roman" w:hAnsi="Times New Roman" w:cs="Times New Roman"/>
          <w:lang w:val="az-Latn-AZ"/>
        </w:rPr>
      </w:pPr>
      <w:r w:rsidRPr="008408C6">
        <w:rPr>
          <w:rFonts w:ascii="Times New Roman" w:hAnsi="Times New Roman" w:cs="Times New Roman"/>
          <w:lang w:val="az-Latn-AZ"/>
        </w:rPr>
        <w:t>“Şəffaflıq Azərbaycan” təşkilatı Gürcüstanın İnformasiya Azadlığının İnkişafı İnstitutu tərəfindən icra olunan “Şəffaf Dövlət Satınalmaları Reytinqi” layihəsində tərəfdaş qismində</w:t>
      </w:r>
      <w:r>
        <w:rPr>
          <w:rFonts w:ascii="Times New Roman" w:hAnsi="Times New Roman" w:cs="Times New Roman"/>
          <w:lang w:val="az-Latn-AZ"/>
        </w:rPr>
        <w:t xml:space="preserve"> iştirak edib</w:t>
      </w:r>
      <w:r w:rsidRPr="008408C6">
        <w:rPr>
          <w:rFonts w:ascii="Times New Roman" w:hAnsi="Times New Roman" w:cs="Times New Roman"/>
          <w:lang w:val="az-Latn-AZ"/>
        </w:rPr>
        <w:t>. Layihə çərçivəsində “Şərq tərəfdaşlığı” üzv dövlətlərində – Azərbaycan, Belarus, Ermənistan, Gürcüstan, Moldova və Ukraynada dövlət satınalmaları sahəsində qanunvericiliyin</w:t>
      </w:r>
      <w:r>
        <w:rPr>
          <w:rFonts w:ascii="Times New Roman" w:hAnsi="Times New Roman" w:cs="Times New Roman"/>
          <w:lang w:val="az-Latn-AZ"/>
        </w:rPr>
        <w:t xml:space="preserve"> və onun icra vəziyyətinin</w:t>
      </w:r>
      <w:r w:rsidRPr="008408C6">
        <w:rPr>
          <w:rFonts w:ascii="Times New Roman" w:hAnsi="Times New Roman" w:cs="Times New Roman"/>
          <w:lang w:val="az-Latn-AZ"/>
        </w:rPr>
        <w:t xml:space="preserve"> qiymətləndirilməsi aparılıb.</w:t>
      </w:r>
      <w:r>
        <w:rPr>
          <w:rFonts w:ascii="Times New Roman" w:hAnsi="Times New Roman" w:cs="Times New Roman"/>
          <w:lang w:val="az-Latn-AZ"/>
        </w:rPr>
        <w:t xml:space="preserve"> </w:t>
      </w:r>
    </w:p>
    <w:p w14:paraId="35128C50" w14:textId="77777777" w:rsidR="008408C6" w:rsidRDefault="008408C6" w:rsidP="008408C6">
      <w:pPr>
        <w:rPr>
          <w:rFonts w:ascii="Times New Roman" w:hAnsi="Times New Roman" w:cs="Times New Roman"/>
          <w:lang w:val="az-Latn-AZ"/>
        </w:rPr>
      </w:pPr>
    </w:p>
    <w:p w14:paraId="239DA8CA" w14:textId="4FC97BFB" w:rsidR="008408C6" w:rsidRDefault="008408C6" w:rsidP="008408C6">
      <w:pPr>
        <w:rPr>
          <w:rFonts w:ascii="Times New Roman" w:hAnsi="Times New Roman" w:cs="Times New Roman"/>
          <w:lang w:val="az-Latn-AZ"/>
        </w:rPr>
      </w:pPr>
      <w:r w:rsidRPr="008408C6">
        <w:rPr>
          <w:rFonts w:ascii="Times New Roman" w:hAnsi="Times New Roman" w:cs="Times New Roman"/>
          <w:lang w:val="az-Latn-AZ"/>
        </w:rPr>
        <w:t xml:space="preserve">Qiymətləndirmə metodologiyası dövlət satınalmaları sahəsində beynəlxalq standartlar və meyarlar əsasında seçilmiş 64 indikatordan ibarətdir. Qiymətləndirmə indikatorları dövlət satınalmaları qanunvericiliyinin mövcud vəziyyətini </w:t>
      </w:r>
      <w:r w:rsidR="0014535D">
        <w:rPr>
          <w:rFonts w:ascii="Times New Roman" w:hAnsi="Times New Roman" w:cs="Times New Roman"/>
          <w:lang w:val="az-Latn-AZ"/>
        </w:rPr>
        <w:t>əks etdirən</w:t>
      </w:r>
      <w:r w:rsidRPr="008408C6">
        <w:rPr>
          <w:rFonts w:ascii="Times New Roman" w:hAnsi="Times New Roman" w:cs="Times New Roman"/>
          <w:lang w:val="az-Latn-AZ"/>
        </w:rPr>
        <w:t xml:space="preserve"> 5 tematik kateqoriya üzrə </w:t>
      </w:r>
      <w:r w:rsidR="0014535D">
        <w:rPr>
          <w:rFonts w:ascii="Times New Roman" w:hAnsi="Times New Roman" w:cs="Times New Roman"/>
          <w:lang w:val="az-Latn-AZ"/>
        </w:rPr>
        <w:t xml:space="preserve">seçilib. Bunlar </w:t>
      </w:r>
      <w:r>
        <w:rPr>
          <w:rFonts w:ascii="Times New Roman" w:hAnsi="Times New Roman" w:cs="Times New Roman"/>
          <w:lang w:val="az-Latn-AZ"/>
        </w:rPr>
        <w:t>(1) q</w:t>
      </w:r>
      <w:r w:rsidRPr="008408C6">
        <w:rPr>
          <w:rFonts w:ascii="Times New Roman" w:hAnsi="Times New Roman" w:cs="Times New Roman"/>
          <w:lang w:val="az-Latn-AZ"/>
        </w:rPr>
        <w:t>anunvericilik bazasının yekcinsliyi</w:t>
      </w:r>
      <w:r>
        <w:rPr>
          <w:rFonts w:ascii="Times New Roman" w:hAnsi="Times New Roman" w:cs="Times New Roman"/>
          <w:lang w:val="az-Latn-AZ"/>
        </w:rPr>
        <w:t>, (2) s</w:t>
      </w:r>
      <w:r w:rsidRPr="008408C6">
        <w:rPr>
          <w:rFonts w:ascii="Times New Roman" w:hAnsi="Times New Roman" w:cs="Times New Roman"/>
          <w:lang w:val="az-Latn-AZ"/>
        </w:rPr>
        <w:t xml:space="preserve">əmərəlilik, </w:t>
      </w:r>
      <w:r>
        <w:rPr>
          <w:rFonts w:ascii="Times New Roman" w:hAnsi="Times New Roman" w:cs="Times New Roman"/>
          <w:lang w:val="az-Latn-AZ"/>
        </w:rPr>
        <w:t>(3) ş</w:t>
      </w:r>
      <w:r w:rsidRPr="008408C6">
        <w:rPr>
          <w:rFonts w:ascii="Times New Roman" w:hAnsi="Times New Roman" w:cs="Times New Roman"/>
          <w:lang w:val="az-Latn-AZ"/>
        </w:rPr>
        <w:t>əffaflıq,</w:t>
      </w:r>
      <w:r>
        <w:rPr>
          <w:rFonts w:ascii="Times New Roman" w:hAnsi="Times New Roman" w:cs="Times New Roman"/>
          <w:lang w:val="az-Latn-AZ"/>
        </w:rPr>
        <w:t xml:space="preserve"> (4) h</w:t>
      </w:r>
      <w:r w:rsidRPr="008408C6">
        <w:rPr>
          <w:rFonts w:ascii="Times New Roman" w:hAnsi="Times New Roman" w:cs="Times New Roman"/>
          <w:lang w:val="az-Latn-AZ"/>
        </w:rPr>
        <w:t>esabatlılıq və</w:t>
      </w:r>
      <w:r>
        <w:rPr>
          <w:rFonts w:ascii="Times New Roman" w:hAnsi="Times New Roman" w:cs="Times New Roman"/>
          <w:lang w:val="az-Latn-AZ"/>
        </w:rPr>
        <w:t xml:space="preserve"> dürüstlük və (5) r</w:t>
      </w:r>
      <w:r w:rsidRPr="008408C6">
        <w:rPr>
          <w:rFonts w:ascii="Times New Roman" w:hAnsi="Times New Roman" w:cs="Times New Roman"/>
          <w:lang w:val="az-Latn-AZ"/>
        </w:rPr>
        <w:t>əqabətlilik və tərəfsizlik</w:t>
      </w:r>
      <w:r w:rsidR="0014535D">
        <w:rPr>
          <w:rFonts w:ascii="Times New Roman" w:hAnsi="Times New Roman" w:cs="Times New Roman"/>
          <w:lang w:val="az-Latn-AZ"/>
        </w:rPr>
        <w:t>dir.</w:t>
      </w:r>
    </w:p>
    <w:p w14:paraId="5E186707" w14:textId="77777777" w:rsidR="008A065E" w:rsidRDefault="008A065E" w:rsidP="000A1048">
      <w:pPr>
        <w:rPr>
          <w:rFonts w:ascii="Times New Roman" w:hAnsi="Times New Roman" w:cs="Times New Roman"/>
          <w:i/>
          <w:lang w:val="az-Latn-AZ"/>
        </w:rPr>
      </w:pPr>
    </w:p>
    <w:p w14:paraId="7FAD0841" w14:textId="77777777" w:rsidR="008762CE" w:rsidRPr="004A2BDC" w:rsidRDefault="008762CE" w:rsidP="000A1048">
      <w:pPr>
        <w:rPr>
          <w:rFonts w:ascii="Times New Roman" w:hAnsi="Times New Roman" w:cs="Times New Roman"/>
          <w:i/>
          <w:lang w:val="az-Latn-AZ"/>
        </w:rPr>
      </w:pPr>
    </w:p>
    <w:p w14:paraId="7FA632E8" w14:textId="2757E455" w:rsidR="0014535D" w:rsidRDefault="00F60D40" w:rsidP="0014535D">
      <w:pPr>
        <w:jc w:val="center"/>
        <w:rPr>
          <w:rFonts w:ascii="Times New Roman" w:hAnsi="Times New Roman" w:cs="Times New Roman"/>
          <w:i/>
          <w:sz w:val="32"/>
          <w:lang w:val="az-Latn-AZ"/>
        </w:rPr>
      </w:pPr>
      <w:r>
        <w:rPr>
          <w:rFonts w:ascii="Times New Roman" w:hAnsi="Times New Roman" w:cs="Times New Roman"/>
          <w:i/>
          <w:sz w:val="32"/>
          <w:lang w:val="az-Latn-AZ"/>
        </w:rPr>
        <w:t>Reytinq haqqında</w:t>
      </w:r>
    </w:p>
    <w:p w14:paraId="512A5A22" w14:textId="77777777" w:rsidR="004A2BDC" w:rsidRDefault="004A2BDC" w:rsidP="004A2BDC">
      <w:pPr>
        <w:rPr>
          <w:rFonts w:ascii="Times New Roman" w:hAnsi="Times New Roman" w:cs="Times New Roman"/>
          <w:lang w:val="az-Latn-AZ"/>
        </w:rPr>
      </w:pPr>
    </w:p>
    <w:p w14:paraId="78763825" w14:textId="6A54D5EE" w:rsidR="00B26046" w:rsidRDefault="004A2BDC" w:rsidP="004A2BDC">
      <w:pPr>
        <w:rPr>
          <w:lang w:val="az-Latn-AZ"/>
        </w:rPr>
      </w:pPr>
      <w:r w:rsidRPr="004A2BDC">
        <w:rPr>
          <w:rFonts w:ascii="Times New Roman" w:hAnsi="Times New Roman" w:cs="Times New Roman"/>
          <w:lang w:val="az-Latn-AZ"/>
        </w:rPr>
        <w:t xml:space="preserve">Qiymətləndirmənin </w:t>
      </w:r>
      <w:r>
        <w:rPr>
          <w:rFonts w:ascii="Times New Roman" w:hAnsi="Times New Roman" w:cs="Times New Roman"/>
          <w:lang w:val="az-Latn-AZ"/>
        </w:rPr>
        <w:t>nəticələri göstərib ki, r</w:t>
      </w:r>
      <w:r w:rsidRPr="004A2BDC">
        <w:rPr>
          <w:rFonts w:ascii="Times New Roman" w:hAnsi="Times New Roman" w:cs="Times New Roman"/>
          <w:lang w:val="az-Latn-AZ"/>
        </w:rPr>
        <w:t>egionda dövlət satınalmaları sahəsində mövcud olan ən təkmil qanunvericilik Ukrayna və Gürcüstana məxsusdur. Bu ölkələrdə satınalmalar sferasını tənzimləyən normativ-hüquqi normalar 100 ballıq şkala üzrə 86%-lə qiymətləndirilmişdir. Müvafiq olaraq, üçüncü və dördüncü yerləri Moldova</w:t>
      </w:r>
      <w:r w:rsidR="00B26046">
        <w:rPr>
          <w:rFonts w:ascii="Times New Roman" w:hAnsi="Times New Roman" w:cs="Times New Roman"/>
          <w:lang w:val="az-Latn-AZ"/>
        </w:rPr>
        <w:t xml:space="preserve"> (74%)</w:t>
      </w:r>
      <w:r w:rsidRPr="004A2BDC">
        <w:rPr>
          <w:rFonts w:ascii="Times New Roman" w:hAnsi="Times New Roman" w:cs="Times New Roman"/>
          <w:lang w:val="az-Latn-AZ"/>
        </w:rPr>
        <w:t xml:space="preserve"> və Belarus</w:t>
      </w:r>
      <w:r w:rsidR="00B26046">
        <w:rPr>
          <w:rFonts w:ascii="Times New Roman" w:hAnsi="Times New Roman" w:cs="Times New Roman"/>
          <w:lang w:val="az-Latn-AZ"/>
        </w:rPr>
        <w:t xml:space="preserve"> (71%)</w:t>
      </w:r>
      <w:r w:rsidRPr="004A2BDC">
        <w:rPr>
          <w:rFonts w:ascii="Times New Roman" w:hAnsi="Times New Roman" w:cs="Times New Roman"/>
          <w:lang w:val="az-Latn-AZ"/>
        </w:rPr>
        <w:t xml:space="preserve"> bölüşürlər. Qanunvericiliyin təkmilləşdirilməsi istiqamətində ən çox islahatlara ehtiyac olan ölkələr isə Ermənistan (60%) və Azərbaycandır (50%).</w:t>
      </w:r>
      <w:r w:rsidRPr="004A2BDC">
        <w:rPr>
          <w:lang w:val="az-Latn-AZ"/>
        </w:rPr>
        <w:t xml:space="preserve"> </w:t>
      </w:r>
    </w:p>
    <w:p w14:paraId="078B959D" w14:textId="77777777" w:rsidR="004A2BDC" w:rsidRDefault="004A2BDC" w:rsidP="004A2BDC">
      <w:pPr>
        <w:rPr>
          <w:lang w:val="az-Latn-AZ"/>
        </w:rPr>
      </w:pPr>
    </w:p>
    <w:p w14:paraId="10F76F5F" w14:textId="1C7C884D" w:rsidR="004A2BDC" w:rsidRDefault="004A2BDC" w:rsidP="004A2BDC">
      <w:pPr>
        <w:jc w:val="center"/>
        <w:rPr>
          <w:lang w:val="az-Latn-AZ"/>
        </w:rPr>
      </w:pPr>
      <w:r>
        <w:rPr>
          <w:rFonts w:ascii="Times New Roman" w:hAnsi="Times New Roman" w:cs="Times New Roman"/>
          <w:i/>
          <w:noProof/>
        </w:rPr>
        <w:drawing>
          <wp:inline distT="0" distB="0" distL="0" distR="0" wp14:anchorId="7085B0C3" wp14:editId="7B006D4D">
            <wp:extent cx="4533900" cy="2578100"/>
            <wp:effectExtent l="0" t="0" r="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3CDC1AC" w14:textId="77777777" w:rsidR="004A2BDC" w:rsidRDefault="004A2BDC" w:rsidP="004A2BDC">
      <w:pPr>
        <w:rPr>
          <w:lang w:val="az-Latn-AZ"/>
        </w:rPr>
      </w:pPr>
    </w:p>
    <w:p w14:paraId="60D0B81F" w14:textId="02228162" w:rsidR="004A2BDC" w:rsidRPr="004A2BDC" w:rsidRDefault="004A2BDC" w:rsidP="004A2BDC">
      <w:pPr>
        <w:rPr>
          <w:rFonts w:ascii="Times New Roman" w:hAnsi="Times New Roman" w:cs="Times New Roman"/>
          <w:lang w:val="az-Latn-AZ"/>
        </w:rPr>
      </w:pPr>
      <w:r w:rsidRPr="004A2BDC">
        <w:rPr>
          <w:rFonts w:ascii="Times New Roman" w:hAnsi="Times New Roman" w:cs="Times New Roman"/>
          <w:lang w:val="az-Latn-AZ"/>
        </w:rPr>
        <w:t>Azə</w:t>
      </w:r>
      <w:r w:rsidR="00B26046">
        <w:rPr>
          <w:rFonts w:ascii="Times New Roman" w:hAnsi="Times New Roman" w:cs="Times New Roman"/>
          <w:lang w:val="az-Latn-AZ"/>
        </w:rPr>
        <w:t>rbaycana gəldikdə isə ölkəmizdə</w:t>
      </w:r>
      <w:r w:rsidRPr="004A2BDC">
        <w:rPr>
          <w:rFonts w:ascii="Times New Roman" w:hAnsi="Times New Roman" w:cs="Times New Roman"/>
          <w:lang w:val="az-Latn-AZ"/>
        </w:rPr>
        <w:t xml:space="preserve"> dövlət satınalmaları sahəsində köklü islahatlara ehtiyac var</w:t>
      </w:r>
      <w:r>
        <w:rPr>
          <w:rFonts w:ascii="Times New Roman" w:hAnsi="Times New Roman" w:cs="Times New Roman"/>
          <w:lang w:val="az-Latn-AZ"/>
        </w:rPr>
        <w:t xml:space="preserve">. </w:t>
      </w:r>
      <w:r w:rsidRPr="004A2BDC">
        <w:rPr>
          <w:rFonts w:ascii="Times New Roman" w:hAnsi="Times New Roman" w:cs="Times New Roman"/>
          <w:lang w:val="az-Latn-AZ"/>
        </w:rPr>
        <w:t xml:space="preserve">Şəffaflıq defisiti </w:t>
      </w:r>
      <w:r w:rsidR="00B26046">
        <w:rPr>
          <w:rFonts w:ascii="Times New Roman" w:hAnsi="Times New Roman" w:cs="Times New Roman"/>
          <w:lang w:val="az-Latn-AZ"/>
        </w:rPr>
        <w:t xml:space="preserve">reytinqdə Azərbaycanın </w:t>
      </w:r>
      <w:r w:rsidRPr="004A2BDC">
        <w:rPr>
          <w:rFonts w:ascii="Times New Roman" w:hAnsi="Times New Roman" w:cs="Times New Roman"/>
          <w:lang w:val="az-Latn-AZ"/>
        </w:rPr>
        <w:t>ümumi nəticə</w:t>
      </w:r>
      <w:r w:rsidR="00B26046">
        <w:rPr>
          <w:rFonts w:ascii="Times New Roman" w:hAnsi="Times New Roman" w:cs="Times New Roman"/>
          <w:lang w:val="az-Latn-AZ"/>
        </w:rPr>
        <w:t>sin</w:t>
      </w:r>
      <w:r w:rsidRPr="004A2BDC">
        <w:rPr>
          <w:rFonts w:ascii="Times New Roman" w:hAnsi="Times New Roman" w:cs="Times New Roman"/>
          <w:lang w:val="az-Latn-AZ"/>
        </w:rPr>
        <w:t xml:space="preserve">ə </w:t>
      </w:r>
      <w:r>
        <w:rPr>
          <w:rFonts w:ascii="Times New Roman" w:hAnsi="Times New Roman" w:cs="Times New Roman"/>
          <w:lang w:val="az-Latn-AZ"/>
        </w:rPr>
        <w:t xml:space="preserve">xüsusilə </w:t>
      </w:r>
      <w:r w:rsidRPr="004A2BDC">
        <w:rPr>
          <w:rFonts w:ascii="Times New Roman" w:hAnsi="Times New Roman" w:cs="Times New Roman"/>
          <w:lang w:val="az-Latn-AZ"/>
        </w:rPr>
        <w:t xml:space="preserve">mənfi təsir göstərib və bu sahədə </w:t>
      </w:r>
      <w:r w:rsidR="00B26046">
        <w:rPr>
          <w:rFonts w:ascii="Times New Roman" w:hAnsi="Times New Roman" w:cs="Times New Roman"/>
          <w:lang w:val="az-Latn-AZ"/>
        </w:rPr>
        <w:t>ölkənin</w:t>
      </w:r>
      <w:r>
        <w:rPr>
          <w:rFonts w:ascii="Times New Roman" w:hAnsi="Times New Roman" w:cs="Times New Roman"/>
          <w:lang w:val="az-Latn-AZ"/>
        </w:rPr>
        <w:t xml:space="preserve"> </w:t>
      </w:r>
      <w:r w:rsidRPr="004A2BDC">
        <w:rPr>
          <w:rFonts w:ascii="Times New Roman" w:hAnsi="Times New Roman" w:cs="Times New Roman"/>
          <w:lang w:val="az-Latn-AZ"/>
        </w:rPr>
        <w:t>mövcud qanunvericili</w:t>
      </w:r>
      <w:r>
        <w:rPr>
          <w:rFonts w:ascii="Times New Roman" w:hAnsi="Times New Roman" w:cs="Times New Roman"/>
          <w:lang w:val="az-Latn-AZ"/>
        </w:rPr>
        <w:t>yi</w:t>
      </w:r>
      <w:r w:rsidRPr="004A2BDC">
        <w:rPr>
          <w:rFonts w:ascii="Times New Roman" w:hAnsi="Times New Roman" w:cs="Times New Roman"/>
          <w:lang w:val="az-Latn-AZ"/>
        </w:rPr>
        <w:t xml:space="preserve"> 100 baldan 9.4 balla qiymətləndirilib (Diaqram 1). Tender prosesi şəffaf həyata keçirilmədiyi üçün bu sahədə yüksək korrupsiya riski mövcuddur. </w:t>
      </w:r>
      <w:r w:rsidRPr="004A2BDC">
        <w:rPr>
          <w:rFonts w:ascii="Times New Roman" w:hAnsi="Times New Roman" w:cs="Times New Roman"/>
          <w:lang w:val="az-Latn-AZ"/>
        </w:rPr>
        <w:lastRenderedPageBreak/>
        <w:t xml:space="preserve">Satınalma prosesinə ictimai nəzarət imkanlarının məhdud olması </w:t>
      </w:r>
      <w:r w:rsidR="00F60D40">
        <w:rPr>
          <w:rFonts w:ascii="Times New Roman" w:hAnsi="Times New Roman" w:cs="Times New Roman"/>
          <w:lang w:val="az-Latn-AZ"/>
        </w:rPr>
        <w:t xml:space="preserve">isə </w:t>
      </w:r>
      <w:r w:rsidRPr="004A2BDC">
        <w:rPr>
          <w:rFonts w:ascii="Times New Roman" w:hAnsi="Times New Roman" w:cs="Times New Roman"/>
          <w:lang w:val="az-Latn-AZ"/>
        </w:rPr>
        <w:t>korrupsiya riskini daha da artırır.</w:t>
      </w:r>
    </w:p>
    <w:p w14:paraId="42345B12" w14:textId="77777777" w:rsidR="004A2BDC" w:rsidRDefault="004A2BDC" w:rsidP="004A2BDC">
      <w:pPr>
        <w:rPr>
          <w:rFonts w:ascii="Times New Roman" w:hAnsi="Times New Roman" w:cs="Times New Roman"/>
          <w:lang w:val="az-Latn-AZ"/>
        </w:rPr>
      </w:pPr>
    </w:p>
    <w:p w14:paraId="324ACC79" w14:textId="71DF5C54" w:rsidR="004A2BDC" w:rsidRPr="00F60D40" w:rsidRDefault="00F60D40" w:rsidP="00F60D40">
      <w:pPr>
        <w:jc w:val="center"/>
        <w:rPr>
          <w:rFonts w:ascii="Times New Roman" w:hAnsi="Times New Roman" w:cs="Times New Roman"/>
          <w:i/>
          <w:sz w:val="32"/>
          <w:szCs w:val="32"/>
          <w:lang w:val="az-Latn-AZ"/>
        </w:rPr>
      </w:pPr>
      <w:r w:rsidRPr="00F60D40">
        <w:rPr>
          <w:rFonts w:ascii="Times New Roman" w:hAnsi="Times New Roman" w:cs="Times New Roman"/>
          <w:i/>
          <w:sz w:val="32"/>
          <w:szCs w:val="32"/>
          <w:lang w:val="az-Latn-AZ"/>
        </w:rPr>
        <w:t>Problemlər</w:t>
      </w:r>
    </w:p>
    <w:p w14:paraId="380BDA8F" w14:textId="77777777" w:rsidR="008762CE" w:rsidRDefault="008762CE" w:rsidP="0014535D">
      <w:pPr>
        <w:jc w:val="center"/>
        <w:rPr>
          <w:rFonts w:ascii="Times New Roman" w:hAnsi="Times New Roman" w:cs="Times New Roman"/>
          <w:i/>
          <w:lang w:val="az-Latn-AZ"/>
        </w:rPr>
      </w:pPr>
    </w:p>
    <w:p w14:paraId="39CC83AE" w14:textId="5309C2B9" w:rsidR="008762CE" w:rsidRDefault="00F60D40" w:rsidP="00F60D40">
      <w:pPr>
        <w:rPr>
          <w:rFonts w:ascii="Times New Roman" w:hAnsi="Times New Roman" w:cs="Times New Roman"/>
          <w:i/>
          <w:lang w:val="az-Latn-AZ"/>
        </w:rPr>
      </w:pPr>
      <w:r>
        <w:rPr>
          <w:rFonts w:ascii="Times New Roman" w:hAnsi="Times New Roman" w:cs="Times New Roman"/>
          <w:i/>
          <w:lang w:val="az-Latn-AZ"/>
        </w:rPr>
        <w:t>Aşağıda qiymətləndirmə nəticəsində müəyyən edilmiş əsas problemlərdən bir neçəsi əhatə olunub:</w:t>
      </w:r>
    </w:p>
    <w:p w14:paraId="7BDEBAE7" w14:textId="77777777" w:rsidR="000A1048" w:rsidRDefault="000A1048" w:rsidP="0014535D">
      <w:pPr>
        <w:jc w:val="center"/>
        <w:rPr>
          <w:rFonts w:ascii="Times New Roman" w:hAnsi="Times New Roman" w:cs="Times New Roman"/>
          <w:i/>
          <w:lang w:val="az-Latn-AZ"/>
        </w:rPr>
      </w:pPr>
    </w:p>
    <w:p w14:paraId="785E4C55" w14:textId="399E2D1A" w:rsidR="0014535D" w:rsidRPr="00D9490B" w:rsidRDefault="000A1048" w:rsidP="00D9490B">
      <w:pPr>
        <w:pStyle w:val="ListParagraph"/>
        <w:numPr>
          <w:ilvl w:val="0"/>
          <w:numId w:val="7"/>
        </w:numPr>
        <w:rPr>
          <w:rFonts w:ascii="Times New Roman" w:hAnsi="Times New Roman" w:cs="Times New Roman"/>
          <w:b/>
          <w:i/>
          <w:lang w:val="az-Latn-AZ"/>
        </w:rPr>
      </w:pPr>
      <w:r w:rsidRPr="00D9490B">
        <w:rPr>
          <w:rFonts w:ascii="Times New Roman" w:hAnsi="Times New Roman" w:cs="Times New Roman"/>
          <w:b/>
          <w:i/>
          <w:lang w:val="az-Latn-AZ"/>
        </w:rPr>
        <w:t>Dövlə</w:t>
      </w:r>
      <w:r w:rsidR="00FE2EBC" w:rsidRPr="00D9490B">
        <w:rPr>
          <w:rFonts w:ascii="Times New Roman" w:hAnsi="Times New Roman" w:cs="Times New Roman"/>
          <w:b/>
          <w:i/>
          <w:lang w:val="az-Latn-AZ"/>
        </w:rPr>
        <w:t>t satınalmaların</w:t>
      </w:r>
      <w:r w:rsidR="006E68C2" w:rsidRPr="00D9490B">
        <w:rPr>
          <w:rFonts w:ascii="Times New Roman" w:hAnsi="Times New Roman" w:cs="Times New Roman"/>
          <w:b/>
          <w:i/>
          <w:lang w:val="az-Latn-AZ"/>
        </w:rPr>
        <w:t>ın</w:t>
      </w:r>
      <w:r w:rsidR="00FE2EBC" w:rsidRPr="00D9490B">
        <w:rPr>
          <w:rFonts w:ascii="Times New Roman" w:hAnsi="Times New Roman" w:cs="Times New Roman"/>
          <w:b/>
          <w:i/>
          <w:lang w:val="az-Latn-AZ"/>
        </w:rPr>
        <w:t xml:space="preserve"> </w:t>
      </w:r>
      <w:r w:rsidRPr="00D9490B">
        <w:rPr>
          <w:rFonts w:ascii="Times New Roman" w:hAnsi="Times New Roman" w:cs="Times New Roman"/>
          <w:b/>
          <w:i/>
          <w:lang w:val="az-Latn-AZ"/>
        </w:rPr>
        <w:t xml:space="preserve">şəffaflıq səviyyəsi çox aşağıdır. </w:t>
      </w:r>
    </w:p>
    <w:p w14:paraId="2AB51AEB" w14:textId="507334A4" w:rsidR="000A1048" w:rsidRPr="007300E7" w:rsidRDefault="000A1048" w:rsidP="000A1048">
      <w:pPr>
        <w:pStyle w:val="ListParagraph"/>
        <w:rPr>
          <w:rFonts w:ascii="Times New Roman" w:hAnsi="Times New Roman" w:cs="Times New Roman"/>
          <w:i/>
          <w:lang w:val="az-Latn-AZ"/>
        </w:rPr>
      </w:pPr>
      <w:r w:rsidRPr="007300E7">
        <w:rPr>
          <w:rFonts w:ascii="Times New Roman" w:hAnsi="Times New Roman" w:cs="Times New Roman"/>
          <w:i/>
          <w:lang w:val="az-Latn-AZ"/>
        </w:rPr>
        <w:t>Tender sənədləri, satınalma predmetinin ehtimal olunan qiyməti, tender təklifləri, tender komissiyasının qərarları (o cümlədən, qərarların əsaslandığı qiymətləndirmə meyarları), şikayətlər və onların həlli yolları, satınalma müqavilələri, malgöndərənlər barədə məlumatlar, sub-podratçı şirkətlə</w:t>
      </w:r>
      <w:r w:rsidR="00FE2EBC" w:rsidRPr="007300E7">
        <w:rPr>
          <w:rFonts w:ascii="Times New Roman" w:hAnsi="Times New Roman" w:cs="Times New Roman"/>
          <w:i/>
          <w:lang w:val="az-Latn-AZ"/>
        </w:rPr>
        <w:t xml:space="preserve">rin adları açıqlanmır. </w:t>
      </w:r>
      <w:r w:rsidR="00F60D40">
        <w:rPr>
          <w:rFonts w:ascii="Times New Roman" w:hAnsi="Times New Roman" w:cs="Times New Roman"/>
          <w:i/>
          <w:lang w:val="az-Latn-AZ"/>
        </w:rPr>
        <w:t xml:space="preserve">İlli satınalma planları və tender elanlar mütəmadi, vaxtlı-vaxtında və dolğun məzmunla dərc olunmur. </w:t>
      </w:r>
      <w:r w:rsidR="00C13670" w:rsidRPr="007300E7">
        <w:rPr>
          <w:rFonts w:ascii="Times New Roman" w:hAnsi="Times New Roman" w:cs="Times New Roman"/>
          <w:i/>
          <w:lang w:val="az-Latn-AZ"/>
        </w:rPr>
        <w:t>Etibarsız malgöndərənlərin siyahısı mövcud deyil ya da ictimaiyyətə açıqlanmır.</w:t>
      </w:r>
      <w:r w:rsidR="00F60D40">
        <w:rPr>
          <w:rFonts w:ascii="Times New Roman" w:hAnsi="Times New Roman" w:cs="Times New Roman"/>
          <w:i/>
          <w:lang w:val="az-Latn-AZ"/>
        </w:rPr>
        <w:t xml:space="preserve"> </w:t>
      </w:r>
    </w:p>
    <w:p w14:paraId="72D181B4" w14:textId="063B70C0" w:rsidR="00EC4373" w:rsidRPr="007300E7" w:rsidRDefault="00EC4373" w:rsidP="002D406E">
      <w:pPr>
        <w:rPr>
          <w:rFonts w:ascii="Times New Roman" w:eastAsia="Times New Roman" w:hAnsi="Times New Roman" w:cs="Times New Roman"/>
          <w:lang w:val="az-Latn-AZ"/>
        </w:rPr>
      </w:pPr>
    </w:p>
    <w:p w14:paraId="5CEAB49B" w14:textId="66714639" w:rsidR="006E68C2" w:rsidRPr="00D9490B" w:rsidRDefault="006E68C2" w:rsidP="00D9490B">
      <w:pPr>
        <w:pStyle w:val="ListParagraph"/>
        <w:numPr>
          <w:ilvl w:val="0"/>
          <w:numId w:val="7"/>
        </w:numPr>
        <w:rPr>
          <w:rFonts w:ascii="Times New Roman" w:eastAsia="Times New Roman" w:hAnsi="Times New Roman" w:cs="Times New Roman"/>
          <w:b/>
          <w:i/>
          <w:lang w:val="az-Latn-AZ"/>
        </w:rPr>
      </w:pPr>
      <w:r w:rsidRPr="00D9490B">
        <w:rPr>
          <w:rFonts w:ascii="Times New Roman" w:hAnsi="Times New Roman" w:cs="Times New Roman"/>
          <w:b/>
          <w:i/>
          <w:lang w:val="az-Latn-AZ"/>
        </w:rPr>
        <w:t>M</w:t>
      </w:r>
      <w:r w:rsidR="00EC4373" w:rsidRPr="00D9490B">
        <w:rPr>
          <w:rFonts w:ascii="Times New Roman" w:hAnsi="Times New Roman" w:cs="Times New Roman"/>
          <w:b/>
          <w:i/>
          <w:lang w:val="az-Latn-AZ"/>
        </w:rPr>
        <w:t>alların, x</w:t>
      </w:r>
      <w:r w:rsidR="00EC4373" w:rsidRPr="00D9490B">
        <w:rPr>
          <w:rFonts w:ascii="Times New Roman" w:eastAsia="Times New Roman" w:hAnsi="Times New Roman" w:cs="Times New Roman"/>
          <w:b/>
          <w:i/>
          <w:color w:val="000000"/>
          <w:shd w:val="clear" w:color="auto" w:fill="FFFFFF"/>
          <w:lang w:val="az-Latn-AZ"/>
        </w:rPr>
        <w:t xml:space="preserve">idmətlərin və işlərin satın alınması </w:t>
      </w:r>
      <w:r w:rsidRPr="00D9490B">
        <w:rPr>
          <w:rFonts w:ascii="Times New Roman" w:eastAsia="Times New Roman" w:hAnsi="Times New Roman" w:cs="Times New Roman"/>
          <w:b/>
          <w:i/>
          <w:color w:val="000000"/>
          <w:shd w:val="clear" w:color="auto" w:fill="FFFFFF"/>
          <w:lang w:val="az-Latn-AZ"/>
        </w:rPr>
        <w:t>üçün ayrılmış dövlət vəsaitlərinin böyük hissəsi müsabiqə keçirilmədən xərclənir.</w:t>
      </w:r>
      <w:r w:rsidR="004A2BDC" w:rsidRPr="00D9490B">
        <w:rPr>
          <w:lang w:val="az-Latn-AZ"/>
        </w:rPr>
        <w:t xml:space="preserve"> </w:t>
      </w:r>
      <w:r w:rsidR="004A2BDC" w:rsidRPr="00D9490B">
        <w:rPr>
          <w:rFonts w:ascii="Times New Roman" w:eastAsia="Times New Roman" w:hAnsi="Times New Roman" w:cs="Times New Roman"/>
          <w:b/>
          <w:i/>
          <w:color w:val="000000"/>
          <w:shd w:val="clear" w:color="auto" w:fill="FFFFFF"/>
          <w:lang w:val="az-Latn-AZ"/>
        </w:rPr>
        <w:t>Azərbaycan qanunvericiliyində əsas satınalma metodu olan açıq tenderdən başqa satınalma üsullarından istifadə edilməsini məhdudlaşdıran normalar kifayət qədər konkret deyil. Nəticədə qeyri-rəqabətli tender metodları – qapalı və ya bir mənbədən satınalma metodlarından kütləvi şəkildə istifadə olunur və bu zaman satınalmaların dürüstlüyünü təmin etmək çətinləşir.</w:t>
      </w:r>
    </w:p>
    <w:p w14:paraId="7504B3CF" w14:textId="6F4BDC91" w:rsidR="002D406E" w:rsidRDefault="006E68C2" w:rsidP="004D3CB6">
      <w:pPr>
        <w:pStyle w:val="ListParagraph"/>
        <w:rPr>
          <w:rFonts w:ascii="Times New Roman" w:eastAsia="Times New Roman" w:hAnsi="Times New Roman" w:cs="Times New Roman"/>
          <w:i/>
          <w:lang w:val="az-Latn-AZ"/>
        </w:rPr>
      </w:pPr>
      <w:r w:rsidRPr="007300E7">
        <w:rPr>
          <w:rFonts w:ascii="Times New Roman" w:eastAsia="Times New Roman" w:hAnsi="Times New Roman" w:cs="Times New Roman"/>
          <w:i/>
          <w:lang w:val="az-Latn-AZ"/>
        </w:rPr>
        <w:t>2015-ci ildə</w:t>
      </w:r>
      <w:r w:rsidR="004D3CB6" w:rsidRPr="007300E7">
        <w:rPr>
          <w:rFonts w:ascii="Times New Roman" w:eastAsia="Times New Roman" w:hAnsi="Times New Roman" w:cs="Times New Roman"/>
          <w:i/>
          <w:lang w:val="az-Latn-AZ"/>
        </w:rPr>
        <w:t xml:space="preserve"> bir mənbədən satınalma metodu tətbiq edilməklə bağlanmış birbaşa müqavilələrin</w:t>
      </w:r>
      <w:r w:rsidRPr="007300E7">
        <w:rPr>
          <w:rFonts w:ascii="Times New Roman" w:eastAsia="Times New Roman" w:hAnsi="Times New Roman" w:cs="Times New Roman"/>
          <w:i/>
          <w:lang w:val="az-Latn-AZ"/>
        </w:rPr>
        <w:t xml:space="preserve"> dövlət satınalmalarının </w:t>
      </w:r>
      <w:r w:rsidR="004D3CB6" w:rsidRPr="007300E7">
        <w:rPr>
          <w:rFonts w:ascii="Times New Roman" w:eastAsia="Times New Roman" w:hAnsi="Times New Roman" w:cs="Times New Roman"/>
          <w:i/>
          <w:lang w:val="az-Latn-AZ"/>
        </w:rPr>
        <w:t>cəmi məbləğində çəkisi 77,8% olub. Bir mənbədən satınalma bir qayda olaraq tikinti ilə bağlı fəaliyyətləri əhatə edib. Belə ki, birbaşa müqavilələr tikinti istiqaməti üzrə satınalma müqavilələrinin məbləğinin 94,5%-ni təşkil edib</w:t>
      </w:r>
      <w:r w:rsidR="007E374B">
        <w:rPr>
          <w:rFonts w:ascii="Times New Roman" w:eastAsia="Times New Roman" w:hAnsi="Times New Roman" w:cs="Times New Roman"/>
          <w:i/>
          <w:lang w:val="az-Latn-AZ"/>
        </w:rPr>
        <w:t xml:space="preserve"> (Diaqram 2)</w:t>
      </w:r>
      <w:r w:rsidR="004D3CB6" w:rsidRPr="007300E7">
        <w:rPr>
          <w:rFonts w:ascii="Times New Roman" w:eastAsia="Times New Roman" w:hAnsi="Times New Roman" w:cs="Times New Roman"/>
          <w:i/>
          <w:lang w:val="az-Latn-AZ"/>
        </w:rPr>
        <w:t xml:space="preserve">. </w:t>
      </w:r>
      <w:r w:rsidRPr="007300E7">
        <w:rPr>
          <w:rFonts w:ascii="Times New Roman" w:eastAsia="Times New Roman" w:hAnsi="Times New Roman" w:cs="Times New Roman"/>
          <w:i/>
          <w:lang w:val="az-Latn-AZ"/>
        </w:rPr>
        <w:t>Müqayisə üçün açıq tender üsulu ilə</w:t>
      </w:r>
      <w:r w:rsidR="004D3CB6" w:rsidRPr="007300E7">
        <w:rPr>
          <w:rFonts w:ascii="Times New Roman" w:eastAsia="Times New Roman" w:hAnsi="Times New Roman" w:cs="Times New Roman"/>
          <w:i/>
          <w:lang w:val="az-Latn-AZ"/>
        </w:rPr>
        <w:t xml:space="preserve"> bağlanmış</w:t>
      </w:r>
      <w:r w:rsidRPr="007300E7">
        <w:rPr>
          <w:rFonts w:ascii="Times New Roman" w:eastAsia="Times New Roman" w:hAnsi="Times New Roman" w:cs="Times New Roman"/>
          <w:i/>
          <w:lang w:val="az-Latn-AZ"/>
        </w:rPr>
        <w:t xml:space="preserve"> </w:t>
      </w:r>
      <w:r w:rsidR="004D3CB6" w:rsidRPr="007300E7">
        <w:rPr>
          <w:rFonts w:ascii="Times New Roman" w:eastAsia="Times New Roman" w:hAnsi="Times New Roman" w:cs="Times New Roman"/>
          <w:i/>
          <w:lang w:val="az-Latn-AZ"/>
        </w:rPr>
        <w:t xml:space="preserve">satınalma müqavilələrinin ümumi məbləğdəki payı 14%, təkliflər sorğusu və kotirovka üsulları ilə bağlanmış müqavilələrin </w:t>
      </w:r>
      <w:r w:rsidR="00014579" w:rsidRPr="007300E7">
        <w:rPr>
          <w:rFonts w:ascii="Times New Roman" w:eastAsia="Times New Roman" w:hAnsi="Times New Roman" w:cs="Times New Roman"/>
          <w:i/>
          <w:lang w:val="az-Latn-AZ"/>
        </w:rPr>
        <w:t>payı isə 4% olmuşdur</w:t>
      </w:r>
      <w:r w:rsidR="007E374B">
        <w:rPr>
          <w:rFonts w:ascii="Times New Roman" w:eastAsia="Times New Roman" w:hAnsi="Times New Roman" w:cs="Times New Roman"/>
          <w:i/>
          <w:lang w:val="az-Latn-AZ"/>
        </w:rPr>
        <w:t xml:space="preserve"> (Diaqram 3)</w:t>
      </w:r>
      <w:r w:rsidR="00014579" w:rsidRPr="007300E7">
        <w:rPr>
          <w:rFonts w:ascii="Times New Roman" w:eastAsia="Times New Roman" w:hAnsi="Times New Roman" w:cs="Times New Roman"/>
          <w:i/>
          <w:lang w:val="az-Latn-AZ"/>
        </w:rPr>
        <w:t>.</w:t>
      </w:r>
    </w:p>
    <w:p w14:paraId="5C384441" w14:textId="77777777" w:rsidR="00255C0B" w:rsidRDefault="00255C0B" w:rsidP="004D3CB6">
      <w:pPr>
        <w:pStyle w:val="ListParagraph"/>
        <w:rPr>
          <w:rFonts w:ascii="Times New Roman" w:eastAsia="Times New Roman" w:hAnsi="Times New Roman" w:cs="Times New Roman"/>
          <w:i/>
          <w:lang w:val="az-Latn-AZ"/>
        </w:rPr>
      </w:pPr>
    </w:p>
    <w:p w14:paraId="759F4887" w14:textId="0D6D4D4B" w:rsidR="00255C0B" w:rsidRPr="007300E7" w:rsidRDefault="00255C0B" w:rsidP="004D3CB6">
      <w:pPr>
        <w:pStyle w:val="ListParagraph"/>
        <w:rPr>
          <w:rFonts w:ascii="Times New Roman" w:eastAsia="Times New Roman" w:hAnsi="Times New Roman" w:cs="Times New Roman"/>
          <w:i/>
          <w:lang w:val="az-Latn-AZ"/>
        </w:rPr>
      </w:pPr>
      <w:r>
        <w:rPr>
          <w:rFonts w:ascii="Times New Roman" w:eastAsia="Times New Roman" w:hAnsi="Times New Roman" w:cs="Times New Roman"/>
          <w:i/>
          <w:noProof/>
        </w:rPr>
        <w:lastRenderedPageBreak/>
        <w:drawing>
          <wp:inline distT="0" distB="0" distL="0" distR="0" wp14:anchorId="353AFCE8" wp14:editId="0F403B1A">
            <wp:extent cx="4848318" cy="2745740"/>
            <wp:effectExtent l="0" t="0" r="3175"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66E62C4" w14:textId="77777777" w:rsidR="00014579" w:rsidRDefault="00014579" w:rsidP="00014579">
      <w:pPr>
        <w:rPr>
          <w:rFonts w:ascii="Times New Roman" w:eastAsia="Times New Roman" w:hAnsi="Times New Roman" w:cs="Times New Roman"/>
          <w:i/>
          <w:lang w:val="az-Latn-AZ"/>
        </w:rPr>
      </w:pPr>
    </w:p>
    <w:p w14:paraId="4D67EFB8" w14:textId="5CA705DF" w:rsidR="00D36CEB" w:rsidRDefault="007E374B" w:rsidP="007E374B">
      <w:pPr>
        <w:jc w:val="center"/>
        <w:rPr>
          <w:rFonts w:ascii="Times New Roman" w:eastAsia="Times New Roman" w:hAnsi="Times New Roman" w:cs="Times New Roman"/>
          <w:i/>
          <w:lang w:val="az-Latn-AZ"/>
        </w:rPr>
      </w:pPr>
      <w:r>
        <w:rPr>
          <w:rFonts w:ascii="Times New Roman" w:eastAsia="Times New Roman" w:hAnsi="Times New Roman" w:cs="Times New Roman"/>
          <w:i/>
          <w:noProof/>
        </w:rPr>
        <w:drawing>
          <wp:inline distT="0" distB="0" distL="0" distR="0" wp14:anchorId="0E991F85" wp14:editId="54C76325">
            <wp:extent cx="4826015" cy="3002218"/>
            <wp:effectExtent l="0" t="0" r="0" b="209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644647" w14:textId="2ABFE626" w:rsidR="00D36CEB" w:rsidRDefault="00D36CEB" w:rsidP="007E374B">
      <w:pPr>
        <w:jc w:val="center"/>
        <w:rPr>
          <w:rFonts w:ascii="Times New Roman" w:eastAsia="Times New Roman" w:hAnsi="Times New Roman" w:cs="Times New Roman"/>
          <w:i/>
          <w:lang w:val="az-Latn-AZ"/>
        </w:rPr>
      </w:pPr>
    </w:p>
    <w:p w14:paraId="4CE8E2DD" w14:textId="77777777" w:rsidR="00D36CEB" w:rsidRDefault="00D36CEB" w:rsidP="00014579">
      <w:pPr>
        <w:rPr>
          <w:rFonts w:ascii="Times New Roman" w:eastAsia="Times New Roman" w:hAnsi="Times New Roman" w:cs="Times New Roman"/>
          <w:i/>
          <w:lang w:val="az-Latn-AZ"/>
        </w:rPr>
      </w:pPr>
    </w:p>
    <w:p w14:paraId="1D5426A8" w14:textId="77777777" w:rsidR="00D36CEB" w:rsidRPr="007300E7" w:rsidRDefault="00D36CEB" w:rsidP="00014579">
      <w:pPr>
        <w:rPr>
          <w:rFonts w:ascii="Times New Roman" w:eastAsia="Times New Roman" w:hAnsi="Times New Roman" w:cs="Times New Roman"/>
          <w:i/>
          <w:lang w:val="az-Latn-AZ"/>
        </w:rPr>
      </w:pPr>
    </w:p>
    <w:p w14:paraId="4048B51E" w14:textId="024EF644" w:rsidR="00014579" w:rsidRPr="00D9490B" w:rsidRDefault="00014579" w:rsidP="00D9490B">
      <w:pPr>
        <w:pStyle w:val="ListParagraph"/>
        <w:numPr>
          <w:ilvl w:val="0"/>
          <w:numId w:val="7"/>
        </w:numPr>
        <w:rPr>
          <w:rFonts w:ascii="Times New Roman" w:eastAsia="Times New Roman" w:hAnsi="Times New Roman" w:cs="Times New Roman"/>
          <w:b/>
          <w:i/>
          <w:lang w:val="az-Latn-AZ"/>
        </w:rPr>
      </w:pPr>
      <w:r w:rsidRPr="00D9490B">
        <w:rPr>
          <w:rFonts w:ascii="Times New Roman" w:eastAsia="Times New Roman" w:hAnsi="Times New Roman" w:cs="Times New Roman"/>
          <w:b/>
          <w:i/>
          <w:lang w:val="az-Latn-AZ"/>
        </w:rPr>
        <w:t xml:space="preserve">Qalib gələn şirkətlərin ixtisas göstəriciləri qanunvericiliklə müəyyən olunmuş tələblərə uyğun gəlmir. </w:t>
      </w:r>
    </w:p>
    <w:p w14:paraId="7019B437" w14:textId="15C66EC0" w:rsidR="0053749E" w:rsidRDefault="007300E7" w:rsidP="0053749E">
      <w:pPr>
        <w:pStyle w:val="ListParagraph"/>
        <w:rPr>
          <w:rFonts w:ascii="Times New Roman" w:eastAsia="Times New Roman" w:hAnsi="Times New Roman" w:cs="Times New Roman"/>
          <w:i/>
          <w:color w:val="000000"/>
          <w:lang w:val="az-Latn-AZ"/>
        </w:rPr>
      </w:pPr>
      <w:r w:rsidRPr="007300E7">
        <w:rPr>
          <w:rFonts w:ascii="Times New Roman" w:eastAsia="Times New Roman" w:hAnsi="Times New Roman" w:cs="Times New Roman"/>
          <w:i/>
          <w:color w:val="000000"/>
          <w:lang w:val="az-Latn-AZ"/>
        </w:rPr>
        <w:t xml:space="preserve">“Dövlət satınalmaları haqqında” qanunda satınalma prosedurlarında iştirak etmək üçün malgöndərənlərin ixtisas göstəriciləri sırasında onların peşəkarlığı, təcrübəsi, texniki və maliyyə imkanları, işçi qüvvəsi, idarəetmə səriştəsi, etibarlığının olması vurğulanır. Praktikada, bu meyarların nə dərəcədə tətbiq </w:t>
      </w:r>
      <w:r w:rsidR="001E6CEE">
        <w:rPr>
          <w:rFonts w:ascii="Times New Roman" w:eastAsia="Times New Roman" w:hAnsi="Times New Roman" w:cs="Times New Roman"/>
          <w:i/>
          <w:color w:val="000000"/>
          <w:lang w:val="az-Latn-AZ"/>
        </w:rPr>
        <w:t>edilməsi</w:t>
      </w:r>
      <w:r w:rsidRPr="007300E7">
        <w:rPr>
          <w:rFonts w:ascii="Times New Roman" w:eastAsia="Times New Roman" w:hAnsi="Times New Roman" w:cs="Times New Roman"/>
          <w:i/>
          <w:color w:val="000000"/>
          <w:lang w:val="az-Latn-AZ"/>
        </w:rPr>
        <w:t xml:space="preserve"> isə sual altındadır.</w:t>
      </w:r>
      <w:r w:rsidR="001E6CEE">
        <w:rPr>
          <w:rFonts w:ascii="Times New Roman" w:eastAsia="Times New Roman" w:hAnsi="Times New Roman" w:cs="Times New Roman"/>
          <w:i/>
          <w:color w:val="000000"/>
          <w:lang w:val="az-Latn-AZ"/>
        </w:rPr>
        <w:t xml:space="preserve"> Misal üçün, 2016-cı ilin martında təsis olunmuş və 50 AZN nizamnamə kapitalına malik “Kontakt-F” şirkəti həmin il 105 satınalma müqaviləsi bağlayıb və </w:t>
      </w:r>
      <w:r w:rsidR="009D5C85">
        <w:rPr>
          <w:rFonts w:ascii="Times New Roman" w:eastAsia="Times New Roman" w:hAnsi="Times New Roman" w:cs="Times New Roman"/>
          <w:i/>
          <w:color w:val="000000"/>
          <w:lang w:val="az-Latn-AZ"/>
        </w:rPr>
        <w:t xml:space="preserve">bu müqavilələrin ümumi məbləği 24 milyon AZN-dən çox olub. Sözügedən malgöndərən onlarla dövlət orqanına </w:t>
      </w:r>
      <w:r w:rsidR="00F05B14">
        <w:rPr>
          <w:rFonts w:ascii="Times New Roman" w:eastAsia="Times New Roman" w:hAnsi="Times New Roman" w:cs="Times New Roman"/>
          <w:i/>
          <w:color w:val="000000"/>
          <w:lang w:val="az-Latn-AZ"/>
        </w:rPr>
        <w:t xml:space="preserve">maşın və </w:t>
      </w:r>
      <w:r w:rsidR="00F05B14">
        <w:rPr>
          <w:rFonts w:ascii="Times New Roman" w:eastAsia="Times New Roman" w:hAnsi="Times New Roman" w:cs="Times New Roman"/>
          <w:i/>
          <w:color w:val="000000"/>
          <w:lang w:val="az-Latn-AZ"/>
        </w:rPr>
        <w:lastRenderedPageBreak/>
        <w:t xml:space="preserve">avadanlıqlardan tutmuş süpürgələrədək (sonuncunun </w:t>
      </w:r>
      <w:r w:rsidR="008E1531">
        <w:rPr>
          <w:rFonts w:ascii="Times New Roman" w:eastAsia="Times New Roman" w:hAnsi="Times New Roman" w:cs="Times New Roman"/>
          <w:i/>
          <w:color w:val="000000"/>
          <w:lang w:val="az-Latn-AZ"/>
        </w:rPr>
        <w:t>ümumi dəyəri</w:t>
      </w:r>
      <w:r w:rsidR="00F05B14">
        <w:rPr>
          <w:rFonts w:ascii="Times New Roman" w:eastAsia="Times New Roman" w:hAnsi="Times New Roman" w:cs="Times New Roman"/>
          <w:i/>
          <w:color w:val="000000"/>
          <w:lang w:val="az-Latn-AZ"/>
        </w:rPr>
        <w:t xml:space="preserve"> 256 min AZN</w:t>
      </w:r>
      <w:r w:rsidR="008E1531">
        <w:rPr>
          <w:rFonts w:ascii="Times New Roman" w:eastAsia="Times New Roman" w:hAnsi="Times New Roman" w:cs="Times New Roman"/>
          <w:i/>
          <w:color w:val="000000"/>
          <w:lang w:val="az-Latn-AZ"/>
        </w:rPr>
        <w:t xml:space="preserve"> məbləğində</w:t>
      </w:r>
      <w:r w:rsidR="00F05B14">
        <w:rPr>
          <w:rFonts w:ascii="Times New Roman" w:eastAsia="Times New Roman" w:hAnsi="Times New Roman" w:cs="Times New Roman"/>
          <w:i/>
          <w:color w:val="000000"/>
          <w:lang w:val="az-Latn-AZ"/>
        </w:rPr>
        <w:t xml:space="preserve"> olub) çox geniş diapozonda mal və xidmətlərin satışını həyata keçirib. </w:t>
      </w:r>
    </w:p>
    <w:p w14:paraId="593FA718" w14:textId="77777777" w:rsidR="008E1531" w:rsidRDefault="008E1531" w:rsidP="0053749E">
      <w:pPr>
        <w:pStyle w:val="ListParagraph"/>
        <w:rPr>
          <w:rFonts w:ascii="Times New Roman" w:eastAsia="Times New Roman" w:hAnsi="Times New Roman" w:cs="Times New Roman"/>
          <w:i/>
          <w:color w:val="000000"/>
          <w:lang w:val="az-Latn-AZ"/>
        </w:rPr>
      </w:pPr>
    </w:p>
    <w:p w14:paraId="35F3B417" w14:textId="2BD9B87B" w:rsidR="00200D4F" w:rsidRPr="008700A7" w:rsidRDefault="008D7EBB" w:rsidP="008700A7">
      <w:pPr>
        <w:pStyle w:val="ListParagraph"/>
        <w:numPr>
          <w:ilvl w:val="0"/>
          <w:numId w:val="2"/>
        </w:numPr>
        <w:rPr>
          <w:rFonts w:ascii="Times New Roman" w:eastAsia="Times New Roman" w:hAnsi="Times New Roman" w:cs="Times New Roman"/>
          <w:i/>
          <w:color w:val="000000"/>
          <w:lang w:val="az-Latn-AZ"/>
        </w:rPr>
      </w:pPr>
      <w:r w:rsidRPr="008700A7">
        <w:rPr>
          <w:rFonts w:ascii="Times New Roman" w:eastAsia="Times New Roman" w:hAnsi="Times New Roman" w:cs="Times New Roman"/>
          <w:i/>
          <w:color w:val="000000"/>
          <w:lang w:val="az-Latn-AZ"/>
        </w:rPr>
        <w:t xml:space="preserve">Azərbaycan qanunvericiliyinə görə </w:t>
      </w:r>
      <w:r w:rsidR="00200D4F" w:rsidRPr="008700A7">
        <w:rPr>
          <w:rFonts w:ascii="Times New Roman" w:eastAsia="Times New Roman" w:hAnsi="Times New Roman" w:cs="Times New Roman"/>
          <w:i/>
          <w:color w:val="000000"/>
          <w:lang w:val="az-Latn-AZ"/>
        </w:rPr>
        <w:t>kommersiya hüquqi şəxslərin təsisçiləri (iştirakçıları) və onların nizamnamə kapitalındakı payları barədə məlumatlar açıqlanmır.</w:t>
      </w:r>
    </w:p>
    <w:p w14:paraId="3F1BE2D4" w14:textId="2C0C6BA1" w:rsidR="00200D4F" w:rsidRPr="008700A7" w:rsidRDefault="00200D4F" w:rsidP="008700A7">
      <w:pPr>
        <w:pStyle w:val="ListParagraph"/>
        <w:numPr>
          <w:ilvl w:val="0"/>
          <w:numId w:val="2"/>
        </w:numPr>
        <w:rPr>
          <w:rFonts w:ascii="Times New Roman" w:eastAsia="Times New Roman" w:hAnsi="Times New Roman" w:cs="Times New Roman"/>
          <w:i/>
          <w:color w:val="000000"/>
          <w:lang w:val="az-Latn-AZ"/>
        </w:rPr>
      </w:pPr>
      <w:r w:rsidRPr="008700A7">
        <w:rPr>
          <w:rFonts w:ascii="Times New Roman" w:eastAsia="Times New Roman" w:hAnsi="Times New Roman" w:cs="Times New Roman"/>
          <w:i/>
          <w:color w:val="000000"/>
          <w:lang w:val="az-Latn-AZ"/>
        </w:rPr>
        <w:t xml:space="preserve">Vəzifəli şəxslər </w:t>
      </w:r>
      <w:r w:rsidR="008700A7" w:rsidRPr="008700A7">
        <w:rPr>
          <w:rFonts w:ascii="Times New Roman" w:eastAsia="Times New Roman" w:hAnsi="Times New Roman" w:cs="Times New Roman"/>
          <w:i/>
          <w:color w:val="000000"/>
          <w:lang w:val="az-Latn-AZ"/>
        </w:rPr>
        <w:t>özlərinə və ailə üzvlərinə aid maliyyə xarakterli məlumatları açıqlamırlar.</w:t>
      </w:r>
    </w:p>
    <w:p w14:paraId="7389BB0E" w14:textId="05D9FCF1" w:rsidR="008700A7" w:rsidRPr="008700A7" w:rsidRDefault="008700A7" w:rsidP="008700A7">
      <w:pPr>
        <w:pStyle w:val="ListParagraph"/>
        <w:numPr>
          <w:ilvl w:val="0"/>
          <w:numId w:val="2"/>
        </w:numPr>
        <w:rPr>
          <w:rFonts w:ascii="Times New Roman" w:eastAsia="Times New Roman" w:hAnsi="Times New Roman" w:cs="Times New Roman"/>
          <w:i/>
          <w:color w:val="000000"/>
          <w:lang w:val="az-Latn-AZ"/>
        </w:rPr>
      </w:pPr>
      <w:r w:rsidRPr="008700A7">
        <w:rPr>
          <w:rFonts w:ascii="Times New Roman" w:eastAsia="Times New Roman" w:hAnsi="Times New Roman" w:cs="Times New Roman"/>
          <w:i/>
          <w:color w:val="000000"/>
          <w:lang w:val="az-Latn-AZ"/>
        </w:rPr>
        <w:t>Tender komissiyaları tərəfindən qalibin seçilməsi proseduru və qiymətləndirmə meyarları, habelə tender iştirakçılarının təklifləri şəffaf deyil.</w:t>
      </w:r>
    </w:p>
    <w:p w14:paraId="16C95430" w14:textId="7D63CCDE" w:rsidR="008700A7" w:rsidRPr="008700A7" w:rsidRDefault="008700A7" w:rsidP="008700A7">
      <w:pPr>
        <w:pStyle w:val="ListParagraph"/>
        <w:numPr>
          <w:ilvl w:val="0"/>
          <w:numId w:val="2"/>
        </w:numPr>
        <w:rPr>
          <w:rFonts w:ascii="Times New Roman" w:eastAsia="Times New Roman" w:hAnsi="Times New Roman" w:cs="Times New Roman"/>
          <w:i/>
          <w:lang w:val="az-Latn-AZ"/>
        </w:rPr>
      </w:pPr>
      <w:r w:rsidRPr="008700A7">
        <w:rPr>
          <w:rFonts w:ascii="Times New Roman" w:eastAsia="Times New Roman" w:hAnsi="Times New Roman" w:cs="Times New Roman"/>
          <w:i/>
          <w:color w:val="000000"/>
          <w:lang w:val="az-Latn-AZ"/>
        </w:rPr>
        <w:t>Dövlət satınalmaları sahəsində dövlət siyasətini həyata keçirən qurum nöqsanların vaxtında aşkarlanması və müvafiq tədbirlərin görülməsi üçün çevik və hesabatlı fəaliyyət göstərmir (və ya göstərə bilmir).</w:t>
      </w:r>
    </w:p>
    <w:p w14:paraId="20A8BA7A" w14:textId="77777777" w:rsidR="00D9490B" w:rsidRDefault="00D9490B" w:rsidP="00D9490B">
      <w:pPr>
        <w:rPr>
          <w:rFonts w:ascii="Times New Roman" w:eastAsia="Times New Roman" w:hAnsi="Times New Roman" w:cs="Times New Roman"/>
          <w:b/>
          <w:i/>
          <w:color w:val="000000"/>
          <w:lang w:val="az-Latn-AZ"/>
        </w:rPr>
      </w:pPr>
    </w:p>
    <w:p w14:paraId="1DD34EF2" w14:textId="66E14752" w:rsidR="006D2794" w:rsidRPr="00D9490B" w:rsidRDefault="00583240" w:rsidP="00D9490B">
      <w:pPr>
        <w:pStyle w:val="ListParagraph"/>
        <w:numPr>
          <w:ilvl w:val="0"/>
          <w:numId w:val="8"/>
        </w:numPr>
        <w:rPr>
          <w:rFonts w:ascii="Times New Roman" w:eastAsia="Times New Roman" w:hAnsi="Times New Roman" w:cs="Times New Roman"/>
          <w:b/>
          <w:i/>
          <w:color w:val="000000"/>
          <w:lang w:val="az-Latn-AZ"/>
        </w:rPr>
      </w:pPr>
      <w:r w:rsidRPr="00D9490B">
        <w:rPr>
          <w:rFonts w:ascii="Times New Roman" w:eastAsia="Times New Roman" w:hAnsi="Times New Roman" w:cs="Times New Roman"/>
          <w:b/>
          <w:i/>
          <w:color w:val="000000"/>
          <w:lang w:val="az-Latn-AZ"/>
        </w:rPr>
        <w:t xml:space="preserve">Vəzifəli şəxslərin </w:t>
      </w:r>
      <w:r w:rsidR="0035410D" w:rsidRPr="00D9490B">
        <w:rPr>
          <w:rFonts w:ascii="Times New Roman" w:eastAsia="Times New Roman" w:hAnsi="Times New Roman" w:cs="Times New Roman"/>
          <w:b/>
          <w:i/>
          <w:color w:val="000000"/>
          <w:lang w:val="az-Latn-AZ"/>
        </w:rPr>
        <w:t>fəaliyyətində maraqlar toqquşmasının qarşısının alınması ilə bağlı normalar mövcud deyil və dövlət satınalmaları</w:t>
      </w:r>
      <w:r w:rsidR="006D2794" w:rsidRPr="00D9490B">
        <w:rPr>
          <w:rFonts w:ascii="Times New Roman" w:eastAsia="Times New Roman" w:hAnsi="Times New Roman" w:cs="Times New Roman"/>
          <w:b/>
          <w:i/>
          <w:color w:val="000000"/>
          <w:lang w:val="az-Latn-AZ"/>
        </w:rPr>
        <w:t xml:space="preserve">nda maraqların ziddiyəti </w:t>
      </w:r>
      <w:r w:rsidR="00680484" w:rsidRPr="00D9490B">
        <w:rPr>
          <w:rFonts w:ascii="Times New Roman" w:eastAsia="Times New Roman" w:hAnsi="Times New Roman" w:cs="Times New Roman"/>
          <w:b/>
          <w:i/>
          <w:color w:val="000000"/>
          <w:lang w:val="az-Latn-AZ"/>
        </w:rPr>
        <w:t>müddəasının tətbiq dairəsi məhduddur.</w:t>
      </w:r>
    </w:p>
    <w:p w14:paraId="5FF67103" w14:textId="77777777" w:rsidR="006D2794" w:rsidRDefault="006D2794" w:rsidP="006D2794">
      <w:pPr>
        <w:pStyle w:val="ListParagraph"/>
        <w:rPr>
          <w:rFonts w:ascii="Times New Roman" w:eastAsia="Times New Roman" w:hAnsi="Times New Roman" w:cs="Times New Roman"/>
          <w:b/>
          <w:i/>
          <w:color w:val="000000"/>
          <w:lang w:val="az-Latn-AZ"/>
        </w:rPr>
      </w:pPr>
    </w:p>
    <w:p w14:paraId="099F3918" w14:textId="36A2C2F1" w:rsidR="00C13670" w:rsidRDefault="00101352" w:rsidP="002D406E">
      <w:pPr>
        <w:pStyle w:val="ListParagraph"/>
        <w:rPr>
          <w:rFonts w:ascii="Times New Roman" w:eastAsia="Times New Roman" w:hAnsi="Times New Roman" w:cs="Times New Roman"/>
          <w:i/>
          <w:color w:val="000000"/>
          <w:lang w:val="az-Latn-AZ"/>
        </w:rPr>
      </w:pPr>
      <w:r>
        <w:rPr>
          <w:rFonts w:ascii="Times New Roman" w:eastAsia="Times New Roman" w:hAnsi="Times New Roman" w:cs="Times New Roman"/>
          <w:i/>
          <w:color w:val="000000"/>
          <w:lang w:val="az-Latn-AZ"/>
        </w:rPr>
        <w:t xml:space="preserve">10 ildən uzun bir müddətdir ki, vəzifəli şəxslərin maraqlar toqquşması məsələsi aktuallığını saxlasa da bu istiqamətdə əməlli irəliləyiş nəzərə çarpmır. </w:t>
      </w:r>
      <w:r w:rsidR="005F26F0" w:rsidRPr="007300E7">
        <w:rPr>
          <w:rFonts w:ascii="Times New Roman" w:eastAsia="Times New Roman" w:hAnsi="Times New Roman" w:cs="Times New Roman"/>
          <w:i/>
          <w:color w:val="000000"/>
          <w:lang w:val="az-Latn-AZ"/>
        </w:rPr>
        <w:t>“Dövlət satınalmaları haqqında”</w:t>
      </w:r>
      <w:r w:rsidR="00692E38">
        <w:rPr>
          <w:rFonts w:ascii="Times New Roman" w:eastAsia="Times New Roman" w:hAnsi="Times New Roman" w:cs="Times New Roman"/>
          <w:i/>
          <w:color w:val="000000"/>
          <w:lang w:val="az-Latn-AZ"/>
        </w:rPr>
        <w:t xml:space="preserve"> qanunda tender komissiyasının tərkibində kimlərin iştirak edə bilməyəcəyinə dair müddəalar öz əksini tapsa da, satınalan təşkilatın vəzifəli şəxslərinin malgöndərənə münasibətdə maraqlar toqquşması halları aydın tənzimlənmir. </w:t>
      </w:r>
      <w:r w:rsidR="00E21B80">
        <w:rPr>
          <w:rFonts w:ascii="Times New Roman" w:eastAsia="Times New Roman" w:hAnsi="Times New Roman" w:cs="Times New Roman"/>
          <w:i/>
          <w:color w:val="000000"/>
          <w:lang w:val="az-Latn-AZ"/>
        </w:rPr>
        <w:t>Jurnalist araşdırmaları praktikada hətta sifarişçi dövlət təşkilatı ilə xidmət göstərən quruma eyni şəxsin rəhbərlik etdiyi halların mövcud olduğunu göstərir.</w:t>
      </w:r>
      <w:r w:rsidR="00AE3EDE">
        <w:rPr>
          <w:rFonts w:ascii="Times New Roman" w:eastAsia="Times New Roman" w:hAnsi="Times New Roman" w:cs="Times New Roman"/>
          <w:i/>
          <w:color w:val="000000"/>
          <w:lang w:val="az-Latn-AZ"/>
        </w:rPr>
        <w:t xml:space="preserve"> Nümunə kimi, </w:t>
      </w:r>
      <w:r w:rsidR="00AE3EDE" w:rsidRPr="00AE3EDE">
        <w:rPr>
          <w:rFonts w:ascii="Times New Roman" w:eastAsia="Times New Roman" w:hAnsi="Times New Roman" w:cs="Times New Roman"/>
          <w:i/>
          <w:color w:val="000000"/>
          <w:lang w:val="az-Latn-AZ"/>
        </w:rPr>
        <w:t>Gəncl</w:t>
      </w:r>
      <w:r w:rsidR="00AE3EDE">
        <w:rPr>
          <w:rFonts w:ascii="Times New Roman" w:eastAsia="Times New Roman" w:hAnsi="Times New Roman" w:cs="Times New Roman"/>
          <w:i/>
          <w:color w:val="000000"/>
          <w:lang w:val="az-Latn-AZ"/>
        </w:rPr>
        <w:t>ər və İdman Nazirliyi nəzdində G</w:t>
      </w:r>
      <w:r w:rsidR="00AE3EDE" w:rsidRPr="00AE3EDE">
        <w:rPr>
          <w:rFonts w:ascii="Times New Roman" w:eastAsia="Times New Roman" w:hAnsi="Times New Roman" w:cs="Times New Roman"/>
          <w:i/>
          <w:color w:val="000000"/>
          <w:lang w:val="az-Latn-AZ"/>
        </w:rPr>
        <w:t>ənclərin Problemləri ü</w:t>
      </w:r>
      <w:r w:rsidR="00AE3EDE">
        <w:rPr>
          <w:rFonts w:ascii="Times New Roman" w:eastAsia="Times New Roman" w:hAnsi="Times New Roman" w:cs="Times New Roman"/>
          <w:i/>
          <w:color w:val="000000"/>
          <w:lang w:val="az-Latn-AZ"/>
        </w:rPr>
        <w:t xml:space="preserve">zrə Elmi Araşdırmalar Mərkəzi ilə </w:t>
      </w:r>
      <w:r w:rsidR="00FB5594">
        <w:rPr>
          <w:rFonts w:ascii="Times New Roman" w:eastAsia="Times New Roman" w:hAnsi="Times New Roman" w:cs="Times New Roman"/>
          <w:i/>
          <w:color w:val="000000"/>
          <w:lang w:val="az-Latn-AZ"/>
        </w:rPr>
        <w:t>Binəsib Uşaq və Gənclər Birliyi arasında</w:t>
      </w:r>
      <w:r w:rsidR="000A0A69">
        <w:rPr>
          <w:rFonts w:ascii="Times New Roman" w:eastAsia="Times New Roman" w:hAnsi="Times New Roman" w:cs="Times New Roman"/>
          <w:i/>
          <w:color w:val="000000"/>
          <w:lang w:val="az-Latn-AZ"/>
        </w:rPr>
        <w:t xml:space="preserve"> cəmi məbləği</w:t>
      </w:r>
      <w:r w:rsidR="00FB5594">
        <w:rPr>
          <w:rFonts w:ascii="Times New Roman" w:eastAsia="Times New Roman" w:hAnsi="Times New Roman" w:cs="Times New Roman"/>
          <w:i/>
          <w:color w:val="000000"/>
          <w:lang w:val="az-Latn-AZ"/>
        </w:rPr>
        <w:t xml:space="preserve"> </w:t>
      </w:r>
      <w:r w:rsidR="000A0A69">
        <w:rPr>
          <w:rFonts w:ascii="Times New Roman" w:eastAsia="Times New Roman" w:hAnsi="Times New Roman" w:cs="Times New Roman"/>
          <w:i/>
          <w:color w:val="000000"/>
          <w:lang w:val="az-Latn-AZ"/>
        </w:rPr>
        <w:t xml:space="preserve">142 min AZN-ə yaxın 3 satınalma müqaviləsini misal göstərmək olar. </w:t>
      </w:r>
    </w:p>
    <w:p w14:paraId="3DCA53B6" w14:textId="77777777" w:rsidR="000A0A69" w:rsidRDefault="000A0A69" w:rsidP="002D406E">
      <w:pPr>
        <w:pStyle w:val="ListParagraph"/>
        <w:rPr>
          <w:rFonts w:ascii="Times New Roman" w:eastAsia="Times New Roman" w:hAnsi="Times New Roman" w:cs="Times New Roman"/>
          <w:i/>
          <w:color w:val="000000"/>
          <w:lang w:val="az-Latn-AZ"/>
        </w:rPr>
      </w:pPr>
    </w:p>
    <w:p w14:paraId="0B82F2CD" w14:textId="6DB15D89" w:rsidR="000A0A69" w:rsidRPr="00D9490B" w:rsidRDefault="000A0A69" w:rsidP="00D9490B">
      <w:pPr>
        <w:pStyle w:val="ListParagraph"/>
        <w:numPr>
          <w:ilvl w:val="0"/>
          <w:numId w:val="8"/>
        </w:numPr>
        <w:rPr>
          <w:rFonts w:ascii="Times New Roman" w:eastAsia="Times New Roman" w:hAnsi="Times New Roman" w:cs="Times New Roman"/>
          <w:b/>
          <w:i/>
          <w:color w:val="000000"/>
          <w:lang w:val="az-Latn-AZ"/>
        </w:rPr>
      </w:pPr>
      <w:r w:rsidRPr="00D9490B">
        <w:rPr>
          <w:rFonts w:ascii="Times New Roman" w:eastAsia="Times New Roman" w:hAnsi="Times New Roman" w:cs="Times New Roman"/>
          <w:b/>
          <w:i/>
          <w:color w:val="000000"/>
          <w:lang w:val="az-Latn-AZ"/>
        </w:rPr>
        <w:t>Elektron dövlət satınalmalarının tətbiqi ilə bağlı ərzaq məhsullarının təchizatı sferası istisna olmaqla irəliləyiş gözə çarpmır.</w:t>
      </w:r>
    </w:p>
    <w:p w14:paraId="7E7F3254" w14:textId="77777777" w:rsidR="008E1531" w:rsidRPr="008E1531" w:rsidRDefault="008E1531" w:rsidP="008E1531">
      <w:pPr>
        <w:pStyle w:val="ListParagraph"/>
        <w:rPr>
          <w:rFonts w:ascii="Times New Roman" w:eastAsia="Times New Roman" w:hAnsi="Times New Roman" w:cs="Times New Roman"/>
          <w:i/>
          <w:color w:val="000000"/>
          <w:lang w:val="az-Latn-AZ"/>
        </w:rPr>
      </w:pPr>
      <w:r w:rsidRPr="008E1531">
        <w:rPr>
          <w:rFonts w:ascii="Times New Roman" w:eastAsia="Times New Roman" w:hAnsi="Times New Roman" w:cs="Times New Roman"/>
          <w:i/>
          <w:color w:val="000000"/>
          <w:lang w:val="az-Latn-AZ"/>
        </w:rPr>
        <w:t>Beynəlxalq praktika göstərir ki, dövlət e-satınalmanın tətbiq edilməsi yolu ilə satınalma vəsaitlərinin 5-20%-nə qədər qənaət edə bilər. Satınalmalar üzrə Dövlət Agentliyi yazılı hesabatlarına əsasən 2007-ci ildən bəri elektron satınalmaya keçidlə bağlı təkliflərini Nazirlər Kabinetinə təqdim etsə də bu məsələ uzun müddət gündəmdə olmayıb. Ərzaq məhsullarının e-tender yolu ilə satın alınması istisna olunmaqla digər sahələrdə elektron xidmətlərin tətbiqi və təkmilləşdirilməsi ilə bağlı yenilik demək olar ki yoxdur.</w:t>
      </w:r>
    </w:p>
    <w:p w14:paraId="7308BFBD" w14:textId="77777777" w:rsidR="00E21B80" w:rsidRDefault="00E21B80" w:rsidP="00A70787">
      <w:pPr>
        <w:rPr>
          <w:rFonts w:ascii="Times New Roman" w:eastAsia="Times New Roman" w:hAnsi="Times New Roman" w:cs="Times New Roman"/>
          <w:i/>
          <w:color w:val="000000"/>
          <w:lang w:val="az-Latn-AZ"/>
        </w:rPr>
      </w:pPr>
    </w:p>
    <w:p w14:paraId="3B15FACA" w14:textId="4F6FB8D4" w:rsidR="00A70787" w:rsidRPr="00D9490B" w:rsidRDefault="00185C3E" w:rsidP="00D9490B">
      <w:pPr>
        <w:pStyle w:val="ListParagraph"/>
        <w:numPr>
          <w:ilvl w:val="0"/>
          <w:numId w:val="8"/>
        </w:numPr>
        <w:rPr>
          <w:rFonts w:ascii="Times New Roman" w:eastAsia="Times New Roman" w:hAnsi="Times New Roman" w:cs="Times New Roman"/>
          <w:b/>
          <w:i/>
          <w:color w:val="000000"/>
          <w:lang w:val="az-Latn-AZ"/>
        </w:rPr>
      </w:pPr>
      <w:r w:rsidRPr="00D9490B">
        <w:rPr>
          <w:rFonts w:ascii="Times New Roman" w:eastAsia="Times New Roman" w:hAnsi="Times New Roman" w:cs="Times New Roman"/>
          <w:b/>
          <w:i/>
          <w:color w:val="000000"/>
          <w:lang w:val="az-Latn-AZ"/>
        </w:rPr>
        <w:t>Dövlət satınalmalarının keçirilməsi zamanı yol verilmiş nöqsanların əhatə elədiyi satınalmaların məbləği 153 milyon AZN-dan çoxdur. Tez-tez rast gəlinən nöqsanlar sırasına aiddir:</w:t>
      </w:r>
    </w:p>
    <w:p w14:paraId="21653A5C" w14:textId="52AC2A6B" w:rsidR="00185C3E" w:rsidRDefault="00185C3E" w:rsidP="00185C3E">
      <w:pPr>
        <w:pStyle w:val="ListParagraph"/>
        <w:numPr>
          <w:ilvl w:val="0"/>
          <w:numId w:val="3"/>
        </w:numPr>
        <w:rPr>
          <w:rFonts w:ascii="Times New Roman" w:eastAsia="Times New Roman" w:hAnsi="Times New Roman" w:cs="Times New Roman"/>
          <w:i/>
          <w:color w:val="000000"/>
          <w:lang w:val="az-Latn-AZ"/>
        </w:rPr>
      </w:pPr>
      <w:r>
        <w:rPr>
          <w:rFonts w:ascii="Times New Roman" w:eastAsia="Times New Roman" w:hAnsi="Times New Roman" w:cs="Times New Roman"/>
          <w:i/>
          <w:color w:val="000000"/>
          <w:lang w:val="az-Latn-AZ"/>
        </w:rPr>
        <w:t>Ehtimal olunan qiymətin düzgün müəyyən edilməməsi,</w:t>
      </w:r>
    </w:p>
    <w:p w14:paraId="5366B35B" w14:textId="5F6BA331" w:rsidR="00185C3E" w:rsidRDefault="00185C3E" w:rsidP="00185C3E">
      <w:pPr>
        <w:pStyle w:val="ListParagraph"/>
        <w:numPr>
          <w:ilvl w:val="0"/>
          <w:numId w:val="3"/>
        </w:numPr>
        <w:rPr>
          <w:rFonts w:ascii="Times New Roman" w:eastAsia="Times New Roman" w:hAnsi="Times New Roman" w:cs="Times New Roman"/>
          <w:i/>
          <w:color w:val="000000"/>
          <w:lang w:val="az-Latn-AZ"/>
        </w:rPr>
      </w:pPr>
      <w:r>
        <w:rPr>
          <w:rFonts w:ascii="Times New Roman" w:eastAsia="Times New Roman" w:hAnsi="Times New Roman" w:cs="Times New Roman"/>
          <w:i/>
          <w:color w:val="000000"/>
          <w:lang w:val="az-Latn-AZ"/>
        </w:rPr>
        <w:t>Tenderdə iştirak haqqının alınmaması</w:t>
      </w:r>
    </w:p>
    <w:p w14:paraId="724F187F" w14:textId="5DD8BD1B" w:rsidR="00185C3E" w:rsidRDefault="00185C3E" w:rsidP="00185C3E">
      <w:pPr>
        <w:pStyle w:val="ListParagraph"/>
        <w:numPr>
          <w:ilvl w:val="0"/>
          <w:numId w:val="3"/>
        </w:numPr>
        <w:rPr>
          <w:rFonts w:ascii="Times New Roman" w:eastAsia="Times New Roman" w:hAnsi="Times New Roman" w:cs="Times New Roman"/>
          <w:i/>
          <w:color w:val="000000"/>
          <w:lang w:val="az-Latn-AZ"/>
        </w:rPr>
      </w:pPr>
      <w:r>
        <w:rPr>
          <w:rFonts w:ascii="Times New Roman" w:eastAsia="Times New Roman" w:hAnsi="Times New Roman" w:cs="Times New Roman"/>
          <w:i/>
          <w:color w:val="000000"/>
          <w:lang w:val="az-Latn-AZ"/>
        </w:rPr>
        <w:t>T</w:t>
      </w:r>
      <w:r w:rsidRPr="00185C3E">
        <w:rPr>
          <w:rFonts w:ascii="Times New Roman" w:eastAsia="Times New Roman" w:hAnsi="Times New Roman" w:cs="Times New Roman"/>
          <w:i/>
          <w:color w:val="000000"/>
          <w:lang w:val="az-Latn-AZ"/>
        </w:rPr>
        <w:t>ender komissiyasının fəaliyyəti</w:t>
      </w:r>
      <w:r>
        <w:rPr>
          <w:rFonts w:ascii="Times New Roman" w:eastAsia="Times New Roman" w:hAnsi="Times New Roman" w:cs="Times New Roman"/>
          <w:i/>
          <w:color w:val="000000"/>
          <w:lang w:val="az-Latn-AZ"/>
        </w:rPr>
        <w:t>nin</w:t>
      </w:r>
      <w:r w:rsidRPr="00185C3E">
        <w:rPr>
          <w:rFonts w:ascii="Times New Roman" w:eastAsia="Times New Roman" w:hAnsi="Times New Roman" w:cs="Times New Roman"/>
          <w:i/>
          <w:color w:val="000000"/>
          <w:lang w:val="az-Latn-AZ"/>
        </w:rPr>
        <w:t xml:space="preserve"> müəyyən olunmuş qaydalara uyğun olma</w:t>
      </w:r>
      <w:r>
        <w:rPr>
          <w:rFonts w:ascii="Times New Roman" w:eastAsia="Times New Roman" w:hAnsi="Times New Roman" w:cs="Times New Roman"/>
          <w:i/>
          <w:color w:val="000000"/>
          <w:lang w:val="az-Latn-AZ"/>
        </w:rPr>
        <w:t>ması,</w:t>
      </w:r>
    </w:p>
    <w:p w14:paraId="200E40CD" w14:textId="7E463A46" w:rsidR="00185C3E" w:rsidRDefault="007F76BD" w:rsidP="00185C3E">
      <w:pPr>
        <w:pStyle w:val="ListParagraph"/>
        <w:numPr>
          <w:ilvl w:val="0"/>
          <w:numId w:val="3"/>
        </w:numPr>
        <w:rPr>
          <w:rFonts w:ascii="Times New Roman" w:eastAsia="Times New Roman" w:hAnsi="Times New Roman" w:cs="Times New Roman"/>
          <w:i/>
          <w:color w:val="000000"/>
          <w:lang w:val="az-Latn-AZ"/>
        </w:rPr>
      </w:pPr>
      <w:r>
        <w:rPr>
          <w:rFonts w:ascii="Times New Roman" w:eastAsia="Times New Roman" w:hAnsi="Times New Roman" w:cs="Times New Roman"/>
          <w:i/>
          <w:color w:val="000000"/>
          <w:lang w:val="az-Latn-AZ"/>
        </w:rPr>
        <w:t>İ</w:t>
      </w:r>
      <w:r w:rsidR="00185C3E" w:rsidRPr="00185C3E">
        <w:rPr>
          <w:rFonts w:ascii="Times New Roman" w:eastAsia="Times New Roman" w:hAnsi="Times New Roman" w:cs="Times New Roman"/>
          <w:i/>
          <w:color w:val="000000"/>
          <w:lang w:val="az-Latn-AZ"/>
        </w:rPr>
        <w:t>ddiaçı kimi çıxış edən podratçılardan maliyyə vəziyyəti barədə sənədlər</w:t>
      </w:r>
      <w:r>
        <w:rPr>
          <w:rFonts w:ascii="Times New Roman" w:eastAsia="Times New Roman" w:hAnsi="Times New Roman" w:cs="Times New Roman"/>
          <w:i/>
          <w:color w:val="000000"/>
          <w:lang w:val="az-Latn-AZ"/>
        </w:rPr>
        <w:t>in alınmaması,</w:t>
      </w:r>
    </w:p>
    <w:p w14:paraId="5592DD72" w14:textId="50FB796C" w:rsidR="007F76BD" w:rsidRPr="00292C15" w:rsidRDefault="007F76BD" w:rsidP="007F76BD">
      <w:pPr>
        <w:pStyle w:val="ListParagraph"/>
        <w:numPr>
          <w:ilvl w:val="0"/>
          <w:numId w:val="3"/>
        </w:numPr>
        <w:rPr>
          <w:rFonts w:ascii="Times New Roman" w:eastAsia="Times New Roman" w:hAnsi="Times New Roman" w:cs="Times New Roman"/>
          <w:i/>
          <w:color w:val="000000"/>
          <w:lang w:val="az-Latn-AZ"/>
        </w:rPr>
      </w:pPr>
      <w:r w:rsidRPr="00292C15">
        <w:rPr>
          <w:rFonts w:ascii="Times New Roman" w:eastAsia="Times New Roman" w:hAnsi="Times New Roman" w:cs="Times New Roman"/>
          <w:i/>
          <w:color w:val="000000"/>
          <w:lang w:val="az-Latn-AZ"/>
        </w:rPr>
        <w:lastRenderedPageBreak/>
        <w:t>Podratçıların ixtisas göstəricilərinin müəyyənləşdirilməsi və qiymətləndirilməsində müəyyən olunmuş tələblərə riayət edilməməsi,</w:t>
      </w:r>
    </w:p>
    <w:p w14:paraId="74B1605E" w14:textId="62D8B4C6" w:rsidR="00353EC3" w:rsidRPr="00292C15" w:rsidRDefault="00353EC3" w:rsidP="00056CB5">
      <w:pPr>
        <w:pStyle w:val="ListParagraph"/>
        <w:numPr>
          <w:ilvl w:val="0"/>
          <w:numId w:val="3"/>
        </w:numPr>
        <w:rPr>
          <w:rFonts w:ascii="Times New Roman" w:eastAsia="Times New Roman" w:hAnsi="Times New Roman" w:cs="Times New Roman"/>
          <w:i/>
          <w:color w:val="000000"/>
          <w:lang w:val="az-Latn-AZ"/>
        </w:rPr>
      </w:pPr>
      <w:r w:rsidRPr="00292C15">
        <w:rPr>
          <w:rFonts w:ascii="Times New Roman" w:eastAsia="Times New Roman" w:hAnsi="Times New Roman" w:cs="Times New Roman"/>
          <w:i/>
          <w:color w:val="000000"/>
          <w:lang w:val="az-Latn-AZ"/>
        </w:rPr>
        <w:t>Tender, təkliflər və kotirovka sorğusu barədə elanların və nəticələrin müəyyən edilmiş qaydada açıqlanmaması, müvafiq icra hakimiyyəti orqanının internet səhifəsində tələb olunan vaxtda və ya heç yerləşdirilməməsi,</w:t>
      </w:r>
    </w:p>
    <w:p w14:paraId="13EC146F" w14:textId="05973F27" w:rsidR="00353EC3" w:rsidRPr="00292C15" w:rsidRDefault="00292C15" w:rsidP="00056CB5">
      <w:pPr>
        <w:pStyle w:val="ListParagraph"/>
        <w:numPr>
          <w:ilvl w:val="0"/>
          <w:numId w:val="3"/>
        </w:numPr>
        <w:rPr>
          <w:rFonts w:ascii="Times New Roman" w:eastAsia="Times New Roman" w:hAnsi="Times New Roman" w:cs="Times New Roman"/>
          <w:i/>
          <w:color w:val="000000"/>
          <w:lang w:val="az-Latn-AZ"/>
        </w:rPr>
      </w:pPr>
      <w:r w:rsidRPr="00292C15">
        <w:rPr>
          <w:rFonts w:ascii="Times New Roman" w:hAnsi="Times New Roman" w:cs="Times New Roman"/>
          <w:i/>
          <w:lang w:val="az-Latn-AZ"/>
        </w:rPr>
        <w:t xml:space="preserve">Müqavilələrin </w:t>
      </w:r>
      <w:r w:rsidR="00353EC3" w:rsidRPr="00292C15">
        <w:rPr>
          <w:rFonts w:ascii="Times New Roman" w:hAnsi="Times New Roman" w:cs="Times New Roman"/>
          <w:i/>
          <w:lang w:val="az-Latn-AZ"/>
        </w:rPr>
        <w:t>satınalma prosedurları tam keçirilmədən bağlanm</w:t>
      </w:r>
      <w:r w:rsidRPr="00292C15">
        <w:rPr>
          <w:rFonts w:ascii="Times New Roman" w:hAnsi="Times New Roman" w:cs="Times New Roman"/>
          <w:i/>
          <w:lang w:val="az-Latn-AZ"/>
        </w:rPr>
        <w:t>ası</w:t>
      </w:r>
      <w:r w:rsidR="00353EC3" w:rsidRPr="00292C15">
        <w:rPr>
          <w:rFonts w:ascii="Times New Roman" w:hAnsi="Times New Roman" w:cs="Times New Roman"/>
          <w:i/>
          <w:lang w:val="az-Latn-AZ"/>
        </w:rPr>
        <w:t>,</w:t>
      </w:r>
    </w:p>
    <w:p w14:paraId="11439A3C" w14:textId="7F5DDF3A" w:rsidR="00292C15" w:rsidRPr="00292C15" w:rsidRDefault="00292C15" w:rsidP="00292C15">
      <w:pPr>
        <w:pStyle w:val="ListParagraph"/>
        <w:numPr>
          <w:ilvl w:val="0"/>
          <w:numId w:val="3"/>
        </w:numPr>
        <w:rPr>
          <w:rFonts w:ascii="Times New Roman" w:eastAsia="Times New Roman" w:hAnsi="Times New Roman" w:cs="Times New Roman"/>
          <w:i/>
          <w:lang w:val="az-Latn-AZ"/>
        </w:rPr>
      </w:pPr>
      <w:r w:rsidRPr="00292C15">
        <w:rPr>
          <w:rFonts w:ascii="Times New Roman" w:eastAsia="Times New Roman" w:hAnsi="Times New Roman" w:cs="Times New Roman"/>
          <w:i/>
          <w:lang w:val="az-Latn-AZ"/>
        </w:rPr>
        <w:t>Müqavilənin müvafiq qaydada tərtib edilməməsi,</w:t>
      </w:r>
    </w:p>
    <w:p w14:paraId="4F49A61C" w14:textId="60A24596" w:rsidR="00292C15" w:rsidRPr="00292C15" w:rsidRDefault="00292C15" w:rsidP="00292C15">
      <w:pPr>
        <w:pStyle w:val="ListParagraph"/>
        <w:numPr>
          <w:ilvl w:val="0"/>
          <w:numId w:val="3"/>
        </w:numPr>
        <w:rPr>
          <w:rFonts w:ascii="Times New Roman" w:eastAsia="Times New Roman" w:hAnsi="Times New Roman" w:cs="Times New Roman"/>
          <w:i/>
          <w:lang w:val="az-Latn-AZ"/>
        </w:rPr>
      </w:pPr>
      <w:r w:rsidRPr="00292C15">
        <w:rPr>
          <w:rFonts w:ascii="Times New Roman" w:eastAsia="Times New Roman" w:hAnsi="Times New Roman" w:cs="Times New Roman"/>
          <w:i/>
          <w:lang w:val="az-Latn-AZ"/>
        </w:rPr>
        <w:t>İxtisas göstəriciləri uyğun olmayan podratçılarla müqavilələrin bağlanılması,</w:t>
      </w:r>
    </w:p>
    <w:p w14:paraId="00335A09" w14:textId="1A8495A8" w:rsidR="007E374B" w:rsidRPr="00292C15" w:rsidRDefault="00292C15" w:rsidP="00056CB5">
      <w:pPr>
        <w:pStyle w:val="ListParagraph"/>
        <w:numPr>
          <w:ilvl w:val="0"/>
          <w:numId w:val="3"/>
        </w:numPr>
        <w:rPr>
          <w:rFonts w:ascii="Times New Roman" w:eastAsia="Times New Roman" w:hAnsi="Times New Roman" w:cs="Times New Roman"/>
          <w:i/>
          <w:color w:val="000000"/>
          <w:lang w:val="az-Latn-AZ"/>
        </w:rPr>
      </w:pPr>
      <w:r w:rsidRPr="00292C15">
        <w:rPr>
          <w:rFonts w:ascii="Times New Roman" w:eastAsia="Times New Roman" w:hAnsi="Times New Roman" w:cs="Times New Roman"/>
          <w:i/>
          <w:color w:val="000000"/>
          <w:lang w:val="az-Latn-AZ"/>
        </w:rPr>
        <w:t>Açıq tender metodu istifadə edilməli olduğu halda digər metodlardan istifadə olunması,</w:t>
      </w:r>
    </w:p>
    <w:p w14:paraId="6B6E04BA" w14:textId="21BE3C28" w:rsidR="00292C15" w:rsidRPr="00292C15" w:rsidRDefault="00292C15" w:rsidP="00056CB5">
      <w:pPr>
        <w:pStyle w:val="ListParagraph"/>
        <w:numPr>
          <w:ilvl w:val="0"/>
          <w:numId w:val="3"/>
        </w:numPr>
        <w:rPr>
          <w:rFonts w:ascii="Times New Roman" w:eastAsia="Times New Roman" w:hAnsi="Times New Roman" w:cs="Times New Roman"/>
          <w:i/>
          <w:color w:val="000000"/>
          <w:lang w:val="az-Latn-AZ"/>
        </w:rPr>
      </w:pPr>
      <w:r w:rsidRPr="00292C15">
        <w:rPr>
          <w:rFonts w:ascii="Times New Roman" w:eastAsia="Times New Roman" w:hAnsi="Times New Roman" w:cs="Times New Roman"/>
          <w:i/>
          <w:color w:val="000000"/>
          <w:lang w:val="az-Latn-AZ"/>
        </w:rPr>
        <w:t>Məbləğ məhdudiyyətinin aradan qaldırmaq məqsədi illə müvafiq xərc maddəsi üzrə bir il ərzində nəzərdə tutulmuş vəsaitin ayrı- ayrı müqavilələrə bölünməsi</w:t>
      </w:r>
      <w:r>
        <w:rPr>
          <w:rFonts w:ascii="Times New Roman" w:eastAsia="Times New Roman" w:hAnsi="Times New Roman" w:cs="Times New Roman"/>
          <w:i/>
          <w:color w:val="000000"/>
          <w:lang w:val="az-Latn-AZ"/>
        </w:rPr>
        <w:t>.</w:t>
      </w:r>
    </w:p>
    <w:p w14:paraId="6060B1EF" w14:textId="77777777" w:rsidR="00E21B80" w:rsidRDefault="00E21B80" w:rsidP="00353EC3">
      <w:pPr>
        <w:rPr>
          <w:rFonts w:ascii="Times New Roman" w:eastAsia="Times New Roman" w:hAnsi="Times New Roman" w:cs="Times New Roman"/>
          <w:i/>
          <w:lang w:val="az-Latn-AZ"/>
        </w:rPr>
      </w:pPr>
    </w:p>
    <w:p w14:paraId="782A0CD1" w14:textId="3EC0C0B0" w:rsidR="00353EC3" w:rsidRPr="00D9490B" w:rsidRDefault="00353EC3" w:rsidP="00D9490B">
      <w:pPr>
        <w:pStyle w:val="ListParagraph"/>
        <w:numPr>
          <w:ilvl w:val="0"/>
          <w:numId w:val="8"/>
        </w:numPr>
        <w:rPr>
          <w:rFonts w:ascii="Times New Roman" w:eastAsia="Times New Roman" w:hAnsi="Times New Roman" w:cs="Times New Roman"/>
          <w:b/>
          <w:i/>
          <w:lang w:val="az-Latn-AZ"/>
        </w:rPr>
      </w:pPr>
      <w:r w:rsidRPr="00D9490B">
        <w:rPr>
          <w:rFonts w:ascii="Times New Roman" w:eastAsia="Times New Roman" w:hAnsi="Times New Roman" w:cs="Times New Roman"/>
          <w:b/>
          <w:i/>
          <w:lang w:val="az-Latn-AZ"/>
        </w:rPr>
        <w:t xml:space="preserve">Şikayətlərə baxılması mexanizmi </w:t>
      </w:r>
      <w:r w:rsidR="00C5048B" w:rsidRPr="00D9490B">
        <w:rPr>
          <w:rFonts w:ascii="Times New Roman" w:eastAsia="Times New Roman" w:hAnsi="Times New Roman" w:cs="Times New Roman"/>
          <w:b/>
          <w:i/>
          <w:lang w:val="az-Latn-AZ"/>
        </w:rPr>
        <w:t>təkmil deyil və qəbul olunmuş şikayətlərin sayı reallıq</w:t>
      </w:r>
      <w:r w:rsidR="007E374B" w:rsidRPr="00D9490B">
        <w:rPr>
          <w:rFonts w:ascii="Times New Roman" w:eastAsia="Times New Roman" w:hAnsi="Times New Roman" w:cs="Times New Roman"/>
          <w:b/>
          <w:i/>
          <w:lang w:val="az-Latn-AZ"/>
        </w:rPr>
        <w:t>la</w:t>
      </w:r>
      <w:r w:rsidR="00C5048B" w:rsidRPr="00D9490B">
        <w:rPr>
          <w:rFonts w:ascii="Times New Roman" w:eastAsia="Times New Roman" w:hAnsi="Times New Roman" w:cs="Times New Roman"/>
          <w:b/>
          <w:i/>
          <w:lang w:val="az-Latn-AZ"/>
        </w:rPr>
        <w:t xml:space="preserve"> səsləşmir. </w:t>
      </w:r>
    </w:p>
    <w:p w14:paraId="03ACF150" w14:textId="77777777" w:rsidR="007E374B" w:rsidRPr="007E374B" w:rsidRDefault="007E374B" w:rsidP="007E374B">
      <w:pPr>
        <w:pStyle w:val="ListParagraph"/>
        <w:rPr>
          <w:rFonts w:ascii="Times New Roman" w:eastAsia="Times New Roman" w:hAnsi="Times New Roman" w:cs="Times New Roman"/>
          <w:b/>
          <w:i/>
          <w:lang w:val="az-Latn-AZ"/>
        </w:rPr>
      </w:pPr>
    </w:p>
    <w:p w14:paraId="451102CB" w14:textId="3496D743" w:rsidR="00C5048B" w:rsidRPr="006703C1" w:rsidRDefault="00DF246C" w:rsidP="006703C1">
      <w:pPr>
        <w:pStyle w:val="ListParagraph"/>
        <w:rPr>
          <w:rFonts w:ascii="Times New Roman" w:eastAsia="Times New Roman" w:hAnsi="Times New Roman" w:cs="Times New Roman"/>
          <w:lang w:val="az-Latn-AZ"/>
        </w:rPr>
      </w:pPr>
      <w:r>
        <w:rPr>
          <w:rFonts w:ascii="Times New Roman" w:eastAsia="Times New Roman" w:hAnsi="Times New Roman" w:cs="Times New Roman"/>
          <w:lang w:val="az-Latn-AZ"/>
        </w:rPr>
        <w:t>Satınalma prosesi ilə bağlı şikayətlərə baxan qurum satınalmanı həyata keçirən qurumun özü olmamalıdır. Beynəlxalq praktikada ixtisaslaşmış vətəndaş cəmiyyəti nümayəndələrinin də iştirak etdiyi mübahisələrin həlli</w:t>
      </w:r>
      <w:r w:rsidR="006703C1">
        <w:rPr>
          <w:rFonts w:ascii="Times New Roman" w:eastAsia="Times New Roman" w:hAnsi="Times New Roman" w:cs="Times New Roman"/>
          <w:lang w:val="az-Latn-AZ"/>
        </w:rPr>
        <w:t xml:space="preserve"> ilə məşğul olan müstəqil təsisatlar mövcuddur. Azərbaycanda mövcud olan iki pilləli şikayətlərə baxılması mexanizmi (satınalan təşkilatın rəhbəri və Requlyator tərəfindən) şikayətlərə çevik baxılması məqsədini daşısa da, prosesin obyektivliyinə və ədalətliliyinə kölgə salır. Requlyator tərəfindən şikayətlərin sayı barədə açıqlanmış statistikanın prosesdən narazı qalanların gerçək sayını göstərdiyini iddia etmək çox çətindir (Diaqram</w:t>
      </w:r>
      <w:r w:rsidR="00566E1D">
        <w:rPr>
          <w:rFonts w:ascii="Times New Roman" w:eastAsia="Times New Roman" w:hAnsi="Times New Roman" w:cs="Times New Roman"/>
          <w:lang w:val="az-Latn-AZ"/>
        </w:rPr>
        <w:t xml:space="preserve"> 4 və 5</w:t>
      </w:r>
      <w:r w:rsidR="006703C1">
        <w:rPr>
          <w:rFonts w:ascii="Times New Roman" w:eastAsia="Times New Roman" w:hAnsi="Times New Roman" w:cs="Times New Roman"/>
          <w:lang w:val="az-Latn-AZ"/>
        </w:rPr>
        <w:t>).</w:t>
      </w:r>
      <w:r w:rsidR="00566E1D">
        <w:rPr>
          <w:rFonts w:ascii="Times New Roman" w:eastAsia="Times New Roman" w:hAnsi="Times New Roman" w:cs="Times New Roman"/>
          <w:lang w:val="az-Latn-AZ"/>
        </w:rPr>
        <w:t xml:space="preserve"> Hesablama Palatasının aşkarladığı qüsurların miqyası bizə onu deməyə imkan verir ki, Requlyatora az sayda şikayətin daxil olması mövcud şikayətlərin həlli proseduruna inamın azlığından qaynaqlana bilər.</w:t>
      </w:r>
    </w:p>
    <w:p w14:paraId="1CB24795" w14:textId="77777777" w:rsidR="007E374B" w:rsidRDefault="007E374B" w:rsidP="00C5048B">
      <w:pPr>
        <w:pStyle w:val="ListParagraph"/>
        <w:rPr>
          <w:rFonts w:ascii="Times New Roman" w:eastAsia="Times New Roman" w:hAnsi="Times New Roman" w:cs="Times New Roman"/>
          <w:lang w:val="az-Latn-AZ"/>
        </w:rPr>
      </w:pPr>
    </w:p>
    <w:p w14:paraId="7E70D779" w14:textId="77777777" w:rsidR="007E374B" w:rsidRDefault="007E374B" w:rsidP="00C5048B">
      <w:pPr>
        <w:pStyle w:val="ListParagraph"/>
        <w:rPr>
          <w:rFonts w:ascii="Times New Roman" w:eastAsia="Times New Roman" w:hAnsi="Times New Roman" w:cs="Times New Roman"/>
          <w:lang w:val="az-Latn-AZ"/>
        </w:rPr>
      </w:pPr>
    </w:p>
    <w:p w14:paraId="4A072D93" w14:textId="77777777" w:rsidR="007E374B" w:rsidRDefault="007E374B" w:rsidP="00C5048B">
      <w:pPr>
        <w:pStyle w:val="ListParagraph"/>
        <w:rPr>
          <w:rFonts w:ascii="Times New Roman" w:eastAsia="Times New Roman" w:hAnsi="Times New Roman" w:cs="Times New Roman"/>
          <w:lang w:val="az-Latn-AZ"/>
        </w:rPr>
      </w:pPr>
    </w:p>
    <w:p w14:paraId="387B856B" w14:textId="75BA2219" w:rsidR="00C5048B" w:rsidRDefault="00C5048B" w:rsidP="006703C1">
      <w:pPr>
        <w:pStyle w:val="ListParagraph"/>
        <w:jc w:val="center"/>
        <w:rPr>
          <w:rFonts w:ascii="Times New Roman" w:eastAsia="Times New Roman" w:hAnsi="Times New Roman" w:cs="Times New Roman"/>
          <w:lang w:val="az-Latn-AZ"/>
        </w:rPr>
      </w:pPr>
      <w:r>
        <w:rPr>
          <w:noProof/>
        </w:rPr>
        <w:drawing>
          <wp:inline distT="0" distB="0" distL="0" distR="0" wp14:anchorId="00BB1D2F" wp14:editId="31F61AAD">
            <wp:extent cx="3476718" cy="2703923"/>
            <wp:effectExtent l="0" t="0" r="317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5947A9" w14:textId="77777777" w:rsidR="009270F1" w:rsidRDefault="009270F1" w:rsidP="00C5048B">
      <w:pPr>
        <w:pStyle w:val="ListParagraph"/>
        <w:rPr>
          <w:rFonts w:ascii="Times New Roman" w:eastAsia="Times New Roman" w:hAnsi="Times New Roman" w:cs="Times New Roman"/>
          <w:lang w:val="az-Latn-AZ"/>
        </w:rPr>
      </w:pPr>
    </w:p>
    <w:p w14:paraId="171EF1B8" w14:textId="192BD2B9" w:rsidR="009270F1" w:rsidRDefault="009270F1" w:rsidP="006703C1">
      <w:pPr>
        <w:pStyle w:val="ListParagraph"/>
        <w:jc w:val="center"/>
        <w:rPr>
          <w:rFonts w:ascii="Times New Roman" w:eastAsia="Times New Roman" w:hAnsi="Times New Roman" w:cs="Times New Roman"/>
          <w:lang w:val="az-Latn-AZ"/>
        </w:rPr>
      </w:pPr>
      <w:r>
        <w:rPr>
          <w:noProof/>
        </w:rPr>
        <w:lastRenderedPageBreak/>
        <w:drawing>
          <wp:inline distT="0" distB="0" distL="0" distR="0" wp14:anchorId="413FC37F" wp14:editId="3DAC5DA5">
            <wp:extent cx="3819618" cy="2402840"/>
            <wp:effectExtent l="0" t="0" r="1587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CCE914" w14:textId="77777777" w:rsidR="00566E1D" w:rsidRDefault="00566E1D" w:rsidP="00566E1D">
      <w:pPr>
        <w:rPr>
          <w:rFonts w:ascii="Times New Roman" w:eastAsia="Times New Roman" w:hAnsi="Times New Roman" w:cs="Times New Roman"/>
          <w:lang w:val="az-Latn-AZ"/>
        </w:rPr>
      </w:pPr>
    </w:p>
    <w:p w14:paraId="2EF4DFE1" w14:textId="21EFC403" w:rsidR="00566E1D" w:rsidRPr="00D9490B" w:rsidRDefault="00566E1D" w:rsidP="00D9490B">
      <w:pPr>
        <w:pStyle w:val="ListParagraph"/>
        <w:numPr>
          <w:ilvl w:val="0"/>
          <w:numId w:val="8"/>
        </w:numPr>
        <w:rPr>
          <w:rFonts w:ascii="Times New Roman" w:eastAsia="Times New Roman" w:hAnsi="Times New Roman" w:cs="Times New Roman"/>
          <w:lang w:val="az-Latn-AZ"/>
        </w:rPr>
      </w:pPr>
      <w:r w:rsidRPr="00D9490B">
        <w:rPr>
          <w:rFonts w:ascii="Times New Roman" w:eastAsia="Times New Roman" w:hAnsi="Times New Roman" w:cs="Times New Roman"/>
          <w:b/>
          <w:lang w:val="az-Latn-AZ"/>
        </w:rPr>
        <w:t>Vətəndaş cəmiyyəti institutlarının dövlət satınalmalarının həyata keçirilməsində iştirak etmək və onlara nəzarət etmək imkanları demək olar ki, mövcud deyil.</w:t>
      </w:r>
      <w:r w:rsidR="001C2FAB" w:rsidRPr="00D9490B">
        <w:rPr>
          <w:rFonts w:ascii="Times New Roman" w:eastAsia="Times New Roman" w:hAnsi="Times New Roman" w:cs="Times New Roman"/>
          <w:lang w:val="az-Latn-AZ"/>
        </w:rPr>
        <w:t xml:space="preserve"> Requlyator, xüsusilə Antiinhisar Siyasəti və İstehlakçıların Hüquqlarının Müdafiəsi Dövlət Xidməti ictimaiyyətlə əlaqələrində introvert qalmağa meyllidir. “İctimai iştirakçılıq haqqında” Qanunun tələblərinə uyğun olaraq İctimai Şura yaradılmayıb və VCT-ları qurumun fəaliyyətinə bu və ya digər formada cəlb olunmayıb. Xidmət bu yaxınlarda “Dövlət satınalmaları haqqında” Qanunun yeni layihəsini işləyib hökumətə təqdim etsə də, layihənin ictimai müzakirəyə çıxarılmaması və ixtisaslaşmış VCT-lərin layihə ilə bağlı rəyinin öyrənilməməsi narahatlıq üçün ciddi əsas verir.</w:t>
      </w:r>
    </w:p>
    <w:p w14:paraId="4B6D7136" w14:textId="77777777" w:rsidR="00D9490B" w:rsidRDefault="00D9490B" w:rsidP="00D9490B">
      <w:pPr>
        <w:pStyle w:val="ListParagraph"/>
        <w:rPr>
          <w:rFonts w:ascii="Times New Roman" w:eastAsia="Times New Roman" w:hAnsi="Times New Roman" w:cs="Times New Roman"/>
          <w:lang w:val="az-Latn-AZ"/>
        </w:rPr>
      </w:pPr>
    </w:p>
    <w:p w14:paraId="2C83BBAF" w14:textId="77777777" w:rsidR="00566E1D" w:rsidRDefault="00566E1D" w:rsidP="00D9490B">
      <w:pPr>
        <w:pStyle w:val="ListParagraph"/>
        <w:rPr>
          <w:rFonts w:ascii="Times New Roman" w:eastAsia="Times New Roman" w:hAnsi="Times New Roman" w:cs="Times New Roman"/>
          <w:b/>
          <w:u w:val="single"/>
          <w:lang w:val="az-Latn-AZ"/>
        </w:rPr>
      </w:pPr>
      <w:bookmarkStart w:id="0" w:name="_GoBack"/>
      <w:bookmarkEnd w:id="0"/>
    </w:p>
    <w:p w14:paraId="0F95B43D" w14:textId="0BC4E1FB" w:rsidR="00CE725A" w:rsidRPr="00D9490B" w:rsidRDefault="00CE725A" w:rsidP="00CE725A">
      <w:pPr>
        <w:pStyle w:val="ListParagraph"/>
        <w:jc w:val="center"/>
        <w:rPr>
          <w:rFonts w:ascii="Times New Roman" w:eastAsia="Times New Roman" w:hAnsi="Times New Roman" w:cs="Times New Roman"/>
          <w:i/>
          <w:sz w:val="32"/>
          <w:szCs w:val="32"/>
          <w:lang w:val="az-Latn-AZ"/>
        </w:rPr>
      </w:pPr>
      <w:r w:rsidRPr="00D9490B">
        <w:rPr>
          <w:rFonts w:ascii="Times New Roman" w:eastAsia="Times New Roman" w:hAnsi="Times New Roman" w:cs="Times New Roman"/>
          <w:i/>
          <w:sz w:val="32"/>
          <w:szCs w:val="32"/>
          <w:lang w:val="az-Latn-AZ"/>
        </w:rPr>
        <w:t>Tövsiyələr</w:t>
      </w:r>
    </w:p>
    <w:p w14:paraId="1B1E1322" w14:textId="77777777" w:rsidR="00CE725A" w:rsidRDefault="00CE725A" w:rsidP="00CE725A">
      <w:pPr>
        <w:pStyle w:val="ListParagraph"/>
        <w:rPr>
          <w:rFonts w:ascii="Times New Roman" w:eastAsia="Times New Roman" w:hAnsi="Times New Roman" w:cs="Times New Roman"/>
          <w:b/>
          <w:u w:val="single"/>
          <w:lang w:val="az-Latn-AZ"/>
        </w:rPr>
      </w:pPr>
    </w:p>
    <w:p w14:paraId="11C77BF8" w14:textId="77777777" w:rsidR="00DF3DCA" w:rsidRPr="00211C76" w:rsidRDefault="00DF3DCA" w:rsidP="00211C76">
      <w:pPr>
        <w:pStyle w:val="ListParagraph"/>
        <w:numPr>
          <w:ilvl w:val="0"/>
          <w:numId w:val="5"/>
        </w:numPr>
        <w:ind w:left="360"/>
        <w:rPr>
          <w:rFonts w:ascii="Times New Roman" w:eastAsia="Times New Roman" w:hAnsi="Times New Roman" w:cs="Times New Roman"/>
          <w:lang w:val="az-Latn-AZ"/>
        </w:rPr>
      </w:pPr>
      <w:r w:rsidRPr="00211C76">
        <w:rPr>
          <w:rFonts w:ascii="Times New Roman" w:eastAsia="Times New Roman" w:hAnsi="Times New Roman" w:cs="Times New Roman"/>
          <w:lang w:val="az-Latn-AZ"/>
        </w:rPr>
        <w:t>Vəzifəli şəxslərin fəaliyyətində maraqlar toqquşmasını tənzimləyən qanun layihəsi ictimai müzakirəyə çıxarılmalı və tezliklə qəbul edilməlidir. Dövlət satınalmaları sahəsində maraqlar toqquşması müddəaları təkcə tender komissiyası üzvlərinə deyil, həm də satınalan təşkilatın vəzifəli şəxslərinə münasibətdə tətbiq olunmalıdır.</w:t>
      </w:r>
    </w:p>
    <w:p w14:paraId="647E8B1A" w14:textId="77777777" w:rsidR="00DF3DCA" w:rsidRDefault="00DF3DCA" w:rsidP="00211C76">
      <w:pPr>
        <w:rPr>
          <w:rFonts w:ascii="Times New Roman" w:eastAsia="Times New Roman" w:hAnsi="Times New Roman" w:cs="Times New Roman"/>
          <w:lang w:val="az-Latn-AZ"/>
        </w:rPr>
      </w:pPr>
    </w:p>
    <w:p w14:paraId="662E6CD7" w14:textId="6CC73294" w:rsidR="00DF3DCA" w:rsidRPr="00211C76" w:rsidRDefault="00DF3DCA" w:rsidP="00211C76">
      <w:pPr>
        <w:pStyle w:val="ListParagraph"/>
        <w:numPr>
          <w:ilvl w:val="0"/>
          <w:numId w:val="5"/>
        </w:numPr>
        <w:ind w:left="360"/>
        <w:rPr>
          <w:rFonts w:ascii="Times New Roman" w:eastAsia="Times New Roman" w:hAnsi="Times New Roman" w:cs="Times New Roman"/>
          <w:lang w:val="az-Latn-AZ"/>
        </w:rPr>
      </w:pPr>
      <w:r w:rsidRPr="00211C76">
        <w:rPr>
          <w:rFonts w:ascii="Times New Roman" w:eastAsia="Times New Roman" w:hAnsi="Times New Roman" w:cs="Times New Roman"/>
          <w:lang w:val="az-Latn-AZ"/>
        </w:rPr>
        <w:t>Vəzifəli şəxslər və ailə üzvlərinə aid maliyyə xarakterli məlumatların açıqlanması təmin edilməlidir.</w:t>
      </w:r>
    </w:p>
    <w:p w14:paraId="7C693FF2" w14:textId="77777777" w:rsidR="00DF3DCA" w:rsidRDefault="00DF3DCA" w:rsidP="00211C76">
      <w:pPr>
        <w:rPr>
          <w:rFonts w:ascii="Times New Roman" w:eastAsia="Times New Roman" w:hAnsi="Times New Roman" w:cs="Times New Roman"/>
          <w:lang w:val="az-Latn-AZ"/>
        </w:rPr>
      </w:pPr>
    </w:p>
    <w:p w14:paraId="30EC47C9" w14:textId="214213D4" w:rsidR="00DF3DCA" w:rsidRPr="00211C76" w:rsidRDefault="00DF3DCA" w:rsidP="00211C76">
      <w:pPr>
        <w:pStyle w:val="ListParagraph"/>
        <w:numPr>
          <w:ilvl w:val="0"/>
          <w:numId w:val="5"/>
        </w:numPr>
        <w:ind w:left="360"/>
        <w:rPr>
          <w:rFonts w:ascii="Times New Roman" w:eastAsia="Times New Roman" w:hAnsi="Times New Roman" w:cs="Times New Roman"/>
          <w:lang w:val="az-Latn-AZ"/>
        </w:rPr>
      </w:pPr>
      <w:r w:rsidRPr="00211C76">
        <w:rPr>
          <w:rFonts w:ascii="Times New Roman" w:eastAsia="Times New Roman" w:hAnsi="Times New Roman" w:cs="Times New Roman"/>
          <w:lang w:val="az-Latn-AZ"/>
        </w:rPr>
        <w:t>Dövlət satınalmalarında iddiaçı qismində çıxış etmək istəyən kommersiya qurumlarının təsisçiləri və pay sahibləri haqqında məlumatın açıqlanması tələb olunmalıdır.</w:t>
      </w:r>
    </w:p>
    <w:p w14:paraId="6DC1074D" w14:textId="77777777" w:rsidR="00DF3DCA" w:rsidRDefault="00DF3DCA" w:rsidP="00211C76">
      <w:pPr>
        <w:rPr>
          <w:rFonts w:ascii="Times New Roman" w:eastAsia="Times New Roman" w:hAnsi="Times New Roman" w:cs="Times New Roman"/>
          <w:lang w:val="az-Latn-AZ"/>
        </w:rPr>
      </w:pPr>
    </w:p>
    <w:p w14:paraId="7EFF736B" w14:textId="0CA49200" w:rsidR="00DF3DCA" w:rsidRPr="00211C76" w:rsidRDefault="00E8344C" w:rsidP="00211C76">
      <w:pPr>
        <w:pStyle w:val="ListParagraph"/>
        <w:numPr>
          <w:ilvl w:val="0"/>
          <w:numId w:val="5"/>
        </w:numPr>
        <w:ind w:left="360"/>
        <w:rPr>
          <w:rFonts w:ascii="Times New Roman" w:eastAsia="Times New Roman" w:hAnsi="Times New Roman" w:cs="Times New Roman"/>
          <w:lang w:val="az-Latn-AZ"/>
        </w:rPr>
      </w:pPr>
      <w:r w:rsidRPr="00211C76">
        <w:rPr>
          <w:rFonts w:ascii="Times New Roman" w:eastAsia="Times New Roman" w:hAnsi="Times New Roman" w:cs="Times New Roman"/>
          <w:lang w:val="az-Latn-AZ"/>
        </w:rPr>
        <w:t>Dövlət satınalmaları şəffaf prosedurlər əsasında həyata keçirilməli, satınalma ilə bağlı məlumatlar tam və vaxtında ictimaiyyətə açıqlanmalıdır. Aşağıdakı sənədlərin və ya bu sənədlərdə əks olunmuş müvafiq məlumatların dərc olunması təmin edilməlidir:</w:t>
      </w:r>
    </w:p>
    <w:p w14:paraId="59076B19" w14:textId="77777777" w:rsidR="00E8344C" w:rsidRDefault="00E8344C" w:rsidP="00DF3DCA">
      <w:pPr>
        <w:rPr>
          <w:rFonts w:ascii="Times New Roman" w:eastAsia="Times New Roman" w:hAnsi="Times New Roman" w:cs="Times New Roman"/>
          <w:lang w:val="az-Latn-AZ"/>
        </w:rPr>
      </w:pPr>
    </w:p>
    <w:p w14:paraId="2081BD67" w14:textId="2440BFAE"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t>İllik satınalma planları,</w:t>
      </w:r>
    </w:p>
    <w:p w14:paraId="6B2FCFB8" w14:textId="34687F82"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t>D</w:t>
      </w:r>
      <w:r w:rsidRPr="00E8344C">
        <w:rPr>
          <w:rFonts w:ascii="Times New Roman" w:eastAsia="Times New Roman" w:hAnsi="Times New Roman" w:cs="Times New Roman"/>
          <w:lang w:val="az-Latn-AZ"/>
        </w:rPr>
        <w:t>övlət satınalmaları üzrə tenderlər, təkliflər sorğusu və kotirovka sorğusu barədə elanlar</w:t>
      </w:r>
      <w:r>
        <w:rPr>
          <w:rFonts w:ascii="Times New Roman" w:eastAsia="Times New Roman" w:hAnsi="Times New Roman" w:cs="Times New Roman"/>
          <w:lang w:val="az-Latn-AZ"/>
        </w:rPr>
        <w:t>,</w:t>
      </w:r>
    </w:p>
    <w:p w14:paraId="06FB1919" w14:textId="77777777"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lastRenderedPageBreak/>
        <w:t>Tenderin əsas şərtlər toplusu (və onlara edilmiş dəyişikliklər),</w:t>
      </w:r>
    </w:p>
    <w:p w14:paraId="63221BF3" w14:textId="77777777"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t>Tender təklifləri,</w:t>
      </w:r>
    </w:p>
    <w:p w14:paraId="76F89E38" w14:textId="6A385354"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t>Tender komissiyasının qərarları, o cümlədən qiymətləndirmə meyarları,</w:t>
      </w:r>
    </w:p>
    <w:p w14:paraId="7FECA450" w14:textId="6763C7A8"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t>Satınalma prosesinin müxtəlif mərhələlərində daxil olmuş şikayətlər və şikayətlərə baxılmasının nəticələri barədə qərarlar,</w:t>
      </w:r>
    </w:p>
    <w:p w14:paraId="6A234D92" w14:textId="716618AB"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t>Satınalma müqavilələri,</w:t>
      </w:r>
    </w:p>
    <w:p w14:paraId="79EF6E44" w14:textId="009AA9C1"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t>Tender iştirakçıları, o cümlədən tenderin qalibi barədə ətraflı məlumat,</w:t>
      </w:r>
    </w:p>
    <w:p w14:paraId="74CD3C99" w14:textId="5BD7C5DA"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t>Qalibin müqavilə öhdəliklərinin icrası vəziyyətinə dair məlumat,</w:t>
      </w:r>
    </w:p>
    <w:p w14:paraId="737E4E7C" w14:textId="20051659"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t>Təhvil-təslim aktları,</w:t>
      </w:r>
    </w:p>
    <w:p w14:paraId="7FCE14E8" w14:textId="22724802"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t>Ödəniş qəbzi,</w:t>
      </w:r>
    </w:p>
    <w:p w14:paraId="7E3716CA" w14:textId="029B82F1"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t>Yoxlama və audit hesabatları,</w:t>
      </w:r>
    </w:p>
    <w:p w14:paraId="15413BB0" w14:textId="14391957" w:rsidR="00E8344C" w:rsidRDefault="00E8344C" w:rsidP="00E8344C">
      <w:pPr>
        <w:pStyle w:val="ListParagraph"/>
        <w:numPr>
          <w:ilvl w:val="0"/>
          <w:numId w:val="3"/>
        </w:numPr>
        <w:rPr>
          <w:rFonts w:ascii="Times New Roman" w:eastAsia="Times New Roman" w:hAnsi="Times New Roman" w:cs="Times New Roman"/>
          <w:lang w:val="az-Latn-AZ"/>
        </w:rPr>
      </w:pPr>
      <w:r>
        <w:rPr>
          <w:rFonts w:ascii="Times New Roman" w:eastAsia="Times New Roman" w:hAnsi="Times New Roman" w:cs="Times New Roman"/>
          <w:lang w:val="az-Latn-AZ"/>
        </w:rPr>
        <w:t>Subpodratçılar haqqında məlumat.</w:t>
      </w:r>
    </w:p>
    <w:p w14:paraId="22FB0D47" w14:textId="77777777" w:rsidR="00E8344C" w:rsidRDefault="00E8344C" w:rsidP="00E8344C">
      <w:pPr>
        <w:rPr>
          <w:rFonts w:ascii="Times New Roman" w:eastAsia="Times New Roman" w:hAnsi="Times New Roman" w:cs="Times New Roman"/>
          <w:lang w:val="az-Latn-AZ"/>
        </w:rPr>
      </w:pPr>
    </w:p>
    <w:p w14:paraId="637A780B" w14:textId="7FE3C2F5" w:rsidR="00E8344C" w:rsidRDefault="000241D5" w:rsidP="00211C76">
      <w:pPr>
        <w:pStyle w:val="ListParagraph"/>
        <w:numPr>
          <w:ilvl w:val="0"/>
          <w:numId w:val="6"/>
        </w:numPr>
        <w:rPr>
          <w:rFonts w:ascii="Times New Roman" w:eastAsia="Times New Roman" w:hAnsi="Times New Roman" w:cs="Times New Roman"/>
          <w:lang w:val="az-Latn-AZ"/>
        </w:rPr>
      </w:pPr>
      <w:r>
        <w:rPr>
          <w:rFonts w:ascii="Times New Roman" w:eastAsia="Times New Roman" w:hAnsi="Times New Roman" w:cs="Times New Roman"/>
          <w:lang w:val="az-Latn-AZ"/>
        </w:rPr>
        <w:t xml:space="preserve">Qeyri-rəqabətli satınalma metodları tətbiq edilməklə həyata keçirilmiş satınalmalar haqqında məlumatlar, o cümlədən müsabiqə keçirilməməsinin səbəbləri, satınalma müqaviləsinin dəyəri və qalib şirkət haqqında məlumat mütəmadi qaydada ictimaiyyətə açıqlanmalıdır. </w:t>
      </w:r>
    </w:p>
    <w:p w14:paraId="7693B87D" w14:textId="7E607BC0" w:rsidR="002A73EC" w:rsidRDefault="002A73EC" w:rsidP="002A73EC">
      <w:pPr>
        <w:pStyle w:val="ListParagraph"/>
        <w:numPr>
          <w:ilvl w:val="0"/>
          <w:numId w:val="6"/>
        </w:numPr>
        <w:rPr>
          <w:rFonts w:ascii="Times New Roman" w:eastAsia="Times New Roman" w:hAnsi="Times New Roman" w:cs="Times New Roman"/>
          <w:lang w:val="az-Latn-AZ"/>
        </w:rPr>
      </w:pPr>
      <w:r>
        <w:rPr>
          <w:rFonts w:ascii="Times New Roman" w:eastAsia="Times New Roman" w:hAnsi="Times New Roman" w:cs="Times New Roman"/>
          <w:lang w:val="az-Latn-AZ"/>
        </w:rPr>
        <w:t>Requlyator satınalan təşkilatların aldığı mal, xidmət və işlər haqqında rüblük analitik hesabatlar hazırlayaraq dərc etməli, bu hesabatlarda aşkarlanmış nöqsanlar, şikayətlər və şikayətlərə baxılmasının nəticələri əhatə edilməlidir.</w:t>
      </w:r>
    </w:p>
    <w:p w14:paraId="0D7C8E01" w14:textId="1EC65081" w:rsidR="002A73EC" w:rsidRDefault="000C349A" w:rsidP="002A73EC">
      <w:pPr>
        <w:pStyle w:val="ListParagraph"/>
        <w:numPr>
          <w:ilvl w:val="0"/>
          <w:numId w:val="6"/>
        </w:numPr>
        <w:rPr>
          <w:rFonts w:ascii="Times New Roman" w:eastAsia="Times New Roman" w:hAnsi="Times New Roman" w:cs="Times New Roman"/>
          <w:lang w:val="az-Latn-AZ"/>
        </w:rPr>
      </w:pPr>
      <w:r>
        <w:rPr>
          <w:rFonts w:ascii="Times New Roman" w:eastAsia="Times New Roman" w:hAnsi="Times New Roman" w:cs="Times New Roman"/>
          <w:lang w:val="az-Latn-AZ"/>
        </w:rPr>
        <w:t xml:space="preserve">Etibarsız malgöndərənlərin və işində tez-tez nöqsanlara yol verən satınalan təşkilatların siyahısı dövri qaydada dərc olunmalıdır. </w:t>
      </w:r>
    </w:p>
    <w:p w14:paraId="390B1C9C" w14:textId="010FD1CD" w:rsidR="000C349A" w:rsidRDefault="001A0163" w:rsidP="002A73EC">
      <w:pPr>
        <w:pStyle w:val="ListParagraph"/>
        <w:numPr>
          <w:ilvl w:val="0"/>
          <w:numId w:val="6"/>
        </w:numPr>
        <w:rPr>
          <w:rFonts w:ascii="Times New Roman" w:eastAsia="Times New Roman" w:hAnsi="Times New Roman" w:cs="Times New Roman"/>
          <w:lang w:val="az-Latn-AZ"/>
        </w:rPr>
      </w:pPr>
      <w:r>
        <w:rPr>
          <w:rFonts w:ascii="Times New Roman" w:eastAsia="Times New Roman" w:hAnsi="Times New Roman" w:cs="Times New Roman"/>
          <w:lang w:val="az-Latn-AZ"/>
        </w:rPr>
        <w:t>Satınalma müqavilələrinin icrası ilə bağlı həyata keçirilmiş yoxlama və audit nəticələri dərc olunmalı, satınalma prosesinə nəzarət və satınalma müqavilələrinin icrası ilə bağlı İqtisadiyyat Nazirliyi, Maliyyə Nazirliyi və Hesablama Palatasının vəzifə və səlahiyyətləri aydın müəyyən olunmalıdır.</w:t>
      </w:r>
    </w:p>
    <w:p w14:paraId="343219AD" w14:textId="1F141074" w:rsidR="001A0163" w:rsidRDefault="00D34472" w:rsidP="002A73EC">
      <w:pPr>
        <w:pStyle w:val="ListParagraph"/>
        <w:numPr>
          <w:ilvl w:val="0"/>
          <w:numId w:val="6"/>
        </w:numPr>
        <w:rPr>
          <w:rFonts w:ascii="Times New Roman" w:eastAsia="Times New Roman" w:hAnsi="Times New Roman" w:cs="Times New Roman"/>
          <w:lang w:val="az-Latn-AZ"/>
        </w:rPr>
      </w:pPr>
      <w:r>
        <w:rPr>
          <w:rFonts w:ascii="Times New Roman" w:eastAsia="Times New Roman" w:hAnsi="Times New Roman" w:cs="Times New Roman"/>
          <w:lang w:val="az-Latn-AZ"/>
        </w:rPr>
        <w:t>Requlyator vətəndaşların sorğularını cavablandırmaq və sahibkarlara keyfiyyətli xidmət göstərmək üçün çağrı mərkəzi təsis etməli və mətbuat üzrə məsul şəxs təyin etməlidir.</w:t>
      </w:r>
    </w:p>
    <w:p w14:paraId="0D375712" w14:textId="37610175" w:rsidR="00D34472" w:rsidRDefault="001063FE" w:rsidP="002A73EC">
      <w:pPr>
        <w:pStyle w:val="ListParagraph"/>
        <w:numPr>
          <w:ilvl w:val="0"/>
          <w:numId w:val="6"/>
        </w:numPr>
        <w:rPr>
          <w:rFonts w:ascii="Times New Roman" w:eastAsia="Times New Roman" w:hAnsi="Times New Roman" w:cs="Times New Roman"/>
          <w:lang w:val="az-Latn-AZ"/>
        </w:rPr>
      </w:pPr>
      <w:r>
        <w:rPr>
          <w:rFonts w:ascii="Times New Roman" w:eastAsia="Times New Roman" w:hAnsi="Times New Roman" w:cs="Times New Roman"/>
          <w:lang w:val="az-Latn-AZ"/>
        </w:rPr>
        <w:t>Requlyator internet resurslarını təkmilləşdirməli, vebsaytında dərs olunan məlumatların məzmun dolğunluğunu təmin etməli və elektron xidmətlərinin keyfiyyətini artırmalıdır.</w:t>
      </w:r>
    </w:p>
    <w:p w14:paraId="5633FCA7" w14:textId="76D04D00" w:rsidR="001063FE" w:rsidRDefault="001063FE" w:rsidP="001063FE">
      <w:pPr>
        <w:pStyle w:val="ListParagraph"/>
        <w:numPr>
          <w:ilvl w:val="0"/>
          <w:numId w:val="6"/>
        </w:numPr>
        <w:rPr>
          <w:rFonts w:ascii="Times New Roman" w:eastAsia="Times New Roman" w:hAnsi="Times New Roman" w:cs="Times New Roman"/>
          <w:lang w:val="az-Latn-AZ"/>
        </w:rPr>
      </w:pPr>
      <w:r>
        <w:rPr>
          <w:rFonts w:ascii="Times New Roman" w:eastAsia="Times New Roman" w:hAnsi="Times New Roman" w:cs="Times New Roman"/>
          <w:lang w:val="az-Latn-AZ"/>
        </w:rPr>
        <w:t>Qanunvericilikdə qeyri-rəqabətli satınalma metodlarından, xüsusilə, bir mənbədən satınalma üsulundan istifadəni məhdudlaşdıran normalar aydın və konkret göstərilməlidir. Müsabiqə keçirilmədən satınalmanın həyata keçirilməsi ehtiyacı ixtiyari qərarlara deyil, sübutlara əsaslanmalıdır.</w:t>
      </w:r>
    </w:p>
    <w:p w14:paraId="3A0DE64E" w14:textId="4B44CC0B" w:rsidR="001063FE" w:rsidRDefault="001063FE" w:rsidP="001063FE">
      <w:pPr>
        <w:pStyle w:val="ListParagraph"/>
        <w:numPr>
          <w:ilvl w:val="0"/>
          <w:numId w:val="6"/>
        </w:numPr>
        <w:rPr>
          <w:rFonts w:ascii="Times New Roman" w:eastAsia="Times New Roman" w:hAnsi="Times New Roman" w:cs="Times New Roman"/>
          <w:lang w:val="az-Latn-AZ"/>
        </w:rPr>
      </w:pPr>
      <w:r>
        <w:rPr>
          <w:rFonts w:ascii="Times New Roman" w:eastAsia="Times New Roman" w:hAnsi="Times New Roman" w:cs="Times New Roman"/>
          <w:lang w:val="az-Latn-AZ"/>
        </w:rPr>
        <w:t>Satınalma prosesində ortaya çıxa biləcək şikayətlərə obyektiv və çevik şəkildə baxılması üçün müstəqil qurum təsis edilməli və ya bu səlahiyyət tam Requlyatora verilməli, şikayətlərə baxan qurumun tərkibinə vətəndaş cəmiyyəti nümayəndələri cəlb edilməlidir.</w:t>
      </w:r>
    </w:p>
    <w:p w14:paraId="2954A3B4" w14:textId="16D2F83B" w:rsidR="000444C5" w:rsidRDefault="000444C5" w:rsidP="001063FE">
      <w:pPr>
        <w:pStyle w:val="ListParagraph"/>
        <w:numPr>
          <w:ilvl w:val="0"/>
          <w:numId w:val="6"/>
        </w:numPr>
        <w:rPr>
          <w:rFonts w:ascii="Times New Roman" w:eastAsia="Times New Roman" w:hAnsi="Times New Roman" w:cs="Times New Roman"/>
          <w:lang w:val="az-Latn-AZ"/>
        </w:rPr>
      </w:pPr>
      <w:r>
        <w:rPr>
          <w:rFonts w:ascii="Times New Roman" w:eastAsia="Times New Roman" w:hAnsi="Times New Roman" w:cs="Times New Roman"/>
          <w:lang w:val="az-Latn-AZ"/>
        </w:rPr>
        <w:t>Requlyator yanında İctimai Şura təsis edilməli, Şuranın işinə ixtisaslaşmış vətəndaş cəmiyyəti təşkilatlarının nümayəndələri daxil edilməlidir. Requlyator satınalma prosesinin bütün mərhələlərində ictimai təşkilatlarla əməkdaşlığı səmərəli formada təşkil etməlidir.</w:t>
      </w:r>
    </w:p>
    <w:p w14:paraId="12425C13" w14:textId="5BAB5A40" w:rsidR="000444C5" w:rsidRDefault="000444C5" w:rsidP="001063FE">
      <w:pPr>
        <w:pStyle w:val="ListParagraph"/>
        <w:numPr>
          <w:ilvl w:val="0"/>
          <w:numId w:val="6"/>
        </w:numPr>
        <w:rPr>
          <w:rFonts w:ascii="Times New Roman" w:eastAsia="Times New Roman" w:hAnsi="Times New Roman" w:cs="Times New Roman"/>
          <w:lang w:val="az-Latn-AZ"/>
        </w:rPr>
      </w:pPr>
      <w:r>
        <w:rPr>
          <w:rFonts w:ascii="Times New Roman" w:eastAsia="Times New Roman" w:hAnsi="Times New Roman" w:cs="Times New Roman"/>
          <w:lang w:val="az-Latn-AZ"/>
        </w:rPr>
        <w:t>Tender komissiyalarının qərarlarının obyektivliyinin və keyfiyyətinin təmin edilməsi üçün normalar işlənib hazırlanmalıdır.</w:t>
      </w:r>
    </w:p>
    <w:p w14:paraId="3689B32B" w14:textId="57B23D17" w:rsidR="000444C5" w:rsidRDefault="000444C5" w:rsidP="001063FE">
      <w:pPr>
        <w:pStyle w:val="ListParagraph"/>
        <w:numPr>
          <w:ilvl w:val="0"/>
          <w:numId w:val="6"/>
        </w:numPr>
        <w:rPr>
          <w:rFonts w:ascii="Times New Roman" w:eastAsia="Times New Roman" w:hAnsi="Times New Roman" w:cs="Times New Roman"/>
          <w:lang w:val="az-Latn-AZ"/>
        </w:rPr>
      </w:pPr>
      <w:r>
        <w:rPr>
          <w:rFonts w:ascii="Times New Roman" w:eastAsia="Times New Roman" w:hAnsi="Times New Roman" w:cs="Times New Roman"/>
          <w:lang w:val="az-Latn-AZ"/>
        </w:rPr>
        <w:t xml:space="preserve">Elektron satınalma proseduru tətbiq edilməli, malların, xidmətlərin və işlərin satın alınması elektron portal üzərindən aparılmalıdır. </w:t>
      </w:r>
    </w:p>
    <w:p w14:paraId="6BDE6E26" w14:textId="7E70CCE2" w:rsidR="000444C5" w:rsidRPr="00443249" w:rsidRDefault="00443249" w:rsidP="00D508E9">
      <w:pPr>
        <w:pStyle w:val="ListParagraph"/>
        <w:numPr>
          <w:ilvl w:val="0"/>
          <w:numId w:val="6"/>
        </w:numPr>
        <w:rPr>
          <w:rFonts w:ascii="Times New Roman" w:eastAsia="Times New Roman" w:hAnsi="Times New Roman" w:cs="Times New Roman"/>
          <w:lang w:val="az-Latn-AZ"/>
        </w:rPr>
      </w:pPr>
      <w:r w:rsidRPr="00443249">
        <w:rPr>
          <w:rFonts w:ascii="Times New Roman" w:eastAsia="Times New Roman" w:hAnsi="Times New Roman" w:cs="Times New Roman"/>
          <w:lang w:val="az-Latn-AZ"/>
        </w:rPr>
        <w:t xml:space="preserve">Tenderdə iştirak haqqının miqdarı ağlabatan sərhədlər daxilində müəyyən edilməli və malgöndərənlərdən yalnız </w:t>
      </w:r>
      <w:r>
        <w:rPr>
          <w:rFonts w:ascii="Times New Roman" w:eastAsia="Times New Roman" w:hAnsi="Times New Roman" w:cs="Times New Roman"/>
          <w:lang w:val="az-Latn-AZ"/>
        </w:rPr>
        <w:t xml:space="preserve">onlar </w:t>
      </w:r>
      <w:r w:rsidRPr="00443249">
        <w:rPr>
          <w:rFonts w:ascii="Times New Roman" w:eastAsia="Times New Roman" w:hAnsi="Times New Roman" w:cs="Times New Roman"/>
          <w:lang w:val="az-Latn-AZ"/>
        </w:rPr>
        <w:t xml:space="preserve">tenderin şərtlər toplusunu əldə etdikdən sonra </w:t>
      </w:r>
      <w:r>
        <w:rPr>
          <w:rFonts w:ascii="Times New Roman" w:eastAsia="Times New Roman" w:hAnsi="Times New Roman" w:cs="Times New Roman"/>
          <w:lang w:val="az-Latn-AZ"/>
        </w:rPr>
        <w:t xml:space="preserve">ödənilməsi </w:t>
      </w:r>
      <w:r w:rsidRPr="00443249">
        <w:rPr>
          <w:rFonts w:ascii="Times New Roman" w:eastAsia="Times New Roman" w:hAnsi="Times New Roman" w:cs="Times New Roman"/>
          <w:lang w:val="az-Latn-AZ"/>
        </w:rPr>
        <w:t>tələb olunmalıdır.</w:t>
      </w:r>
    </w:p>
    <w:sectPr w:rsidR="000444C5" w:rsidRPr="00443249" w:rsidSect="0091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0FF9"/>
    <w:multiLevelType w:val="hybridMultilevel"/>
    <w:tmpl w:val="47FE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71F85"/>
    <w:multiLevelType w:val="hybridMultilevel"/>
    <w:tmpl w:val="885C9DE0"/>
    <w:lvl w:ilvl="0" w:tplc="9530E6D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7A019D"/>
    <w:multiLevelType w:val="hybridMultilevel"/>
    <w:tmpl w:val="111E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50468"/>
    <w:multiLevelType w:val="hybridMultilevel"/>
    <w:tmpl w:val="77440D10"/>
    <w:lvl w:ilvl="0" w:tplc="9530E6D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600A1"/>
    <w:multiLevelType w:val="hybridMultilevel"/>
    <w:tmpl w:val="0F60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027C9"/>
    <w:multiLevelType w:val="hybridMultilevel"/>
    <w:tmpl w:val="FADEC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447EE7"/>
    <w:multiLevelType w:val="hybridMultilevel"/>
    <w:tmpl w:val="90D24958"/>
    <w:lvl w:ilvl="0" w:tplc="1C3EF4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62E24"/>
    <w:multiLevelType w:val="hybridMultilevel"/>
    <w:tmpl w:val="3B3E1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C6"/>
    <w:rsid w:val="00014579"/>
    <w:rsid w:val="000241D5"/>
    <w:rsid w:val="000334E3"/>
    <w:rsid w:val="000444C5"/>
    <w:rsid w:val="0007629F"/>
    <w:rsid w:val="000A0A69"/>
    <w:rsid w:val="000A1048"/>
    <w:rsid w:val="000A478E"/>
    <w:rsid w:val="000C349A"/>
    <w:rsid w:val="00100605"/>
    <w:rsid w:val="00100882"/>
    <w:rsid w:val="00101352"/>
    <w:rsid w:val="001063FE"/>
    <w:rsid w:val="0014535D"/>
    <w:rsid w:val="00185C3E"/>
    <w:rsid w:val="001A0163"/>
    <w:rsid w:val="001C2FAB"/>
    <w:rsid w:val="001C4432"/>
    <w:rsid w:val="001E6CEE"/>
    <w:rsid w:val="001F0871"/>
    <w:rsid w:val="00200D4F"/>
    <w:rsid w:val="00210ED0"/>
    <w:rsid w:val="00211C76"/>
    <w:rsid w:val="00223BF7"/>
    <w:rsid w:val="00255C0B"/>
    <w:rsid w:val="00292C15"/>
    <w:rsid w:val="002A73EC"/>
    <w:rsid w:val="002B611C"/>
    <w:rsid w:val="002D406E"/>
    <w:rsid w:val="002F246D"/>
    <w:rsid w:val="002F6107"/>
    <w:rsid w:val="00304B24"/>
    <w:rsid w:val="00353EC3"/>
    <w:rsid w:val="0035410D"/>
    <w:rsid w:val="00395256"/>
    <w:rsid w:val="004136BF"/>
    <w:rsid w:val="00414FCC"/>
    <w:rsid w:val="00443249"/>
    <w:rsid w:val="004A2BDC"/>
    <w:rsid w:val="004D3CB6"/>
    <w:rsid w:val="00510204"/>
    <w:rsid w:val="005137FC"/>
    <w:rsid w:val="00521544"/>
    <w:rsid w:val="0053749E"/>
    <w:rsid w:val="00566E1D"/>
    <w:rsid w:val="00583240"/>
    <w:rsid w:val="005D3122"/>
    <w:rsid w:val="005F26F0"/>
    <w:rsid w:val="00610DE6"/>
    <w:rsid w:val="006167A6"/>
    <w:rsid w:val="006703C1"/>
    <w:rsid w:val="00680484"/>
    <w:rsid w:val="00692E38"/>
    <w:rsid w:val="0069374F"/>
    <w:rsid w:val="006D2794"/>
    <w:rsid w:val="006E68C2"/>
    <w:rsid w:val="006F3C62"/>
    <w:rsid w:val="007300E7"/>
    <w:rsid w:val="007C7DFE"/>
    <w:rsid w:val="007E374B"/>
    <w:rsid w:val="007E71C0"/>
    <w:rsid w:val="007F76BD"/>
    <w:rsid w:val="008218F7"/>
    <w:rsid w:val="008408C6"/>
    <w:rsid w:val="00847A37"/>
    <w:rsid w:val="0085270D"/>
    <w:rsid w:val="008700A7"/>
    <w:rsid w:val="008762CE"/>
    <w:rsid w:val="008A065E"/>
    <w:rsid w:val="008D7EBB"/>
    <w:rsid w:val="008E1531"/>
    <w:rsid w:val="00917C46"/>
    <w:rsid w:val="009270F1"/>
    <w:rsid w:val="00975144"/>
    <w:rsid w:val="009D0C2B"/>
    <w:rsid w:val="009D5C85"/>
    <w:rsid w:val="009E5BC6"/>
    <w:rsid w:val="00A70787"/>
    <w:rsid w:val="00AE3EDE"/>
    <w:rsid w:val="00B20A3B"/>
    <w:rsid w:val="00B26046"/>
    <w:rsid w:val="00B33943"/>
    <w:rsid w:val="00B84C08"/>
    <w:rsid w:val="00B96977"/>
    <w:rsid w:val="00C11473"/>
    <w:rsid w:val="00C13670"/>
    <w:rsid w:val="00C5048B"/>
    <w:rsid w:val="00CE725A"/>
    <w:rsid w:val="00D34472"/>
    <w:rsid w:val="00D36CEB"/>
    <w:rsid w:val="00D93A03"/>
    <w:rsid w:val="00D9490B"/>
    <w:rsid w:val="00DC2C29"/>
    <w:rsid w:val="00DF246C"/>
    <w:rsid w:val="00DF3DCA"/>
    <w:rsid w:val="00DF7569"/>
    <w:rsid w:val="00E21B80"/>
    <w:rsid w:val="00E66D56"/>
    <w:rsid w:val="00E711E9"/>
    <w:rsid w:val="00E8344C"/>
    <w:rsid w:val="00E9655F"/>
    <w:rsid w:val="00EC4373"/>
    <w:rsid w:val="00EC4BC6"/>
    <w:rsid w:val="00F05B14"/>
    <w:rsid w:val="00F60D40"/>
    <w:rsid w:val="00FB5594"/>
    <w:rsid w:val="00FE2EBC"/>
    <w:rsid w:val="00FF48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71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81626">
      <w:bodyDiv w:val="1"/>
      <w:marLeft w:val="0"/>
      <w:marRight w:val="0"/>
      <w:marTop w:val="0"/>
      <w:marBottom w:val="0"/>
      <w:divBdr>
        <w:top w:val="none" w:sz="0" w:space="0" w:color="auto"/>
        <w:left w:val="none" w:sz="0" w:space="0" w:color="auto"/>
        <w:bottom w:val="none" w:sz="0" w:space="0" w:color="auto"/>
        <w:right w:val="none" w:sz="0" w:space="0" w:color="auto"/>
      </w:divBdr>
    </w:div>
    <w:div w:id="1512260184">
      <w:bodyDiv w:val="1"/>
      <w:marLeft w:val="0"/>
      <w:marRight w:val="0"/>
      <w:marTop w:val="0"/>
      <w:marBottom w:val="0"/>
      <w:divBdr>
        <w:top w:val="none" w:sz="0" w:space="0" w:color="auto"/>
        <w:left w:val="none" w:sz="0" w:space="0" w:color="auto"/>
        <w:bottom w:val="none" w:sz="0" w:space="0" w:color="auto"/>
        <w:right w:val="none" w:sz="0" w:space="0" w:color="auto"/>
      </w:divBdr>
    </w:div>
    <w:div w:id="1544058344">
      <w:bodyDiv w:val="1"/>
      <w:marLeft w:val="0"/>
      <w:marRight w:val="0"/>
      <w:marTop w:val="0"/>
      <w:marBottom w:val="0"/>
      <w:divBdr>
        <w:top w:val="none" w:sz="0" w:space="0" w:color="auto"/>
        <w:left w:val="none" w:sz="0" w:space="0" w:color="auto"/>
        <w:bottom w:val="none" w:sz="0" w:space="0" w:color="auto"/>
        <w:right w:val="none" w:sz="0" w:space="0" w:color="auto"/>
      </w:divBdr>
    </w:div>
    <w:div w:id="1844012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z-Latn-AZ" b="1" i="1">
                <a:latin typeface="Times New Roman" panose="02020603050405020304" pitchFamily="18" charset="0"/>
                <a:cs typeface="Times New Roman" panose="02020603050405020304" pitchFamily="18" charset="0"/>
              </a:rPr>
              <a:t>Diaqram 1:</a:t>
            </a:r>
            <a:r>
              <a:rPr lang="az-Latn-AZ" b="1" i="1" baseline="0">
                <a:latin typeface="Times New Roman" panose="02020603050405020304" pitchFamily="18" charset="0"/>
                <a:cs typeface="Times New Roman" panose="02020603050405020304" pitchFamily="18" charset="0"/>
              </a:rPr>
              <a:t> </a:t>
            </a:r>
            <a:r>
              <a:rPr lang="az-Latn-AZ" b="1" i="1">
                <a:latin typeface="Times New Roman" panose="02020603050405020304" pitchFamily="18" charset="0"/>
                <a:cs typeface="Times New Roman" panose="02020603050405020304" pitchFamily="18" charset="0"/>
              </a:rPr>
              <a:t>Dövlət satınalmaları sahəsində ölkələrin qanunvericiliklərinin reytinqi, 2016</a:t>
            </a:r>
            <a:endParaRPr lang="en-US" b="1" i="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Azərbaycan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Şəffaflıq</c:v>
                </c:pt>
                <c:pt idx="1">
                  <c:v>Hesabatlılıq</c:v>
                </c:pt>
                <c:pt idx="2">
                  <c:v>Qanunvericiliyin yekcinsliyi</c:v>
                </c:pt>
                <c:pt idx="3">
                  <c:v>Səmərəlilik </c:v>
                </c:pt>
                <c:pt idx="4">
                  <c:v>Rəqabətlilik</c:v>
                </c:pt>
              </c:strCache>
            </c:strRef>
          </c:cat>
          <c:val>
            <c:numRef>
              <c:f>Sheet1!$B$2:$B$6</c:f>
              <c:numCache>
                <c:formatCode>General</c:formatCode>
                <c:ptCount val="5"/>
                <c:pt idx="0">
                  <c:v>9.4</c:v>
                </c:pt>
                <c:pt idx="1">
                  <c:v>61.8</c:v>
                </c:pt>
                <c:pt idx="2">
                  <c:v>64.8</c:v>
                </c:pt>
                <c:pt idx="3">
                  <c:v>63.3</c:v>
                </c:pt>
                <c:pt idx="4">
                  <c:v>66.7</c:v>
                </c:pt>
              </c:numCache>
            </c:numRef>
          </c:val>
        </c:ser>
        <c:ser>
          <c:idx val="1"/>
          <c:order val="1"/>
          <c:tx>
            <c:strRef>
              <c:f>Sheet1!$C$1</c:f>
              <c:strCache>
                <c:ptCount val="1"/>
                <c:pt idx="0">
                  <c:v>Belarus</c:v>
                </c:pt>
              </c:strCache>
            </c:strRef>
          </c:tx>
          <c:spPr>
            <a:solidFill>
              <a:schemeClr val="accent2"/>
            </a:solidFill>
            <a:ln>
              <a:noFill/>
            </a:ln>
            <a:effectLst/>
          </c:spPr>
          <c:invertIfNegative val="0"/>
          <c:dLbls>
            <c:dLbl>
              <c:idx val="2"/>
              <c:layout>
                <c:manualLayout>
                  <c:x val="-0.00231481481481481"/>
                  <c:y val="-0.0238095238095239"/>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Şəffaflıq</c:v>
                </c:pt>
                <c:pt idx="1">
                  <c:v>Hesabatlılıq</c:v>
                </c:pt>
                <c:pt idx="2">
                  <c:v>Qanunvericiliyin yekcinsliyi</c:v>
                </c:pt>
                <c:pt idx="3">
                  <c:v>Səmərəlilik </c:v>
                </c:pt>
                <c:pt idx="4">
                  <c:v>Rəqabətlilik</c:v>
                </c:pt>
              </c:strCache>
            </c:strRef>
          </c:cat>
          <c:val>
            <c:numRef>
              <c:f>Sheet1!$C$2:$C$6</c:f>
              <c:numCache>
                <c:formatCode>General</c:formatCode>
                <c:ptCount val="5"/>
                <c:pt idx="0">
                  <c:v>69.1</c:v>
                </c:pt>
                <c:pt idx="1">
                  <c:v>27.2</c:v>
                </c:pt>
                <c:pt idx="2">
                  <c:v>68.6</c:v>
                </c:pt>
                <c:pt idx="3">
                  <c:v>80.0</c:v>
                </c:pt>
                <c:pt idx="4">
                  <c:v>91.8</c:v>
                </c:pt>
              </c:numCache>
            </c:numRef>
          </c:val>
        </c:ser>
        <c:ser>
          <c:idx val="2"/>
          <c:order val="2"/>
          <c:tx>
            <c:strRef>
              <c:f>Sheet1!$D$1</c:f>
              <c:strCache>
                <c:ptCount val="1"/>
                <c:pt idx="0">
                  <c:v>Ermənistan</c:v>
                </c:pt>
              </c:strCache>
            </c:strRef>
          </c:tx>
          <c:spPr>
            <a:solidFill>
              <a:schemeClr val="accent3"/>
            </a:solidFill>
            <a:ln>
              <a:noFill/>
            </a:ln>
            <a:effectLst/>
          </c:spPr>
          <c:invertIfNegative val="0"/>
          <c:dLbls>
            <c:dLbl>
              <c:idx val="2"/>
              <c:layout>
                <c:manualLayout>
                  <c:x val="-0.0393518518518518"/>
                  <c:y val="-0.00396825396825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00231481481481481"/>
                  <c:y val="-0.043650793650793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Şəffaflıq</c:v>
                </c:pt>
                <c:pt idx="1">
                  <c:v>Hesabatlılıq</c:v>
                </c:pt>
                <c:pt idx="2">
                  <c:v>Qanunvericiliyin yekcinsliyi</c:v>
                </c:pt>
                <c:pt idx="3">
                  <c:v>Səmərəlilik </c:v>
                </c:pt>
                <c:pt idx="4">
                  <c:v>Rəqabətlilik</c:v>
                </c:pt>
              </c:strCache>
            </c:strRef>
          </c:cat>
          <c:val>
            <c:numRef>
              <c:f>Sheet1!$D$2:$D$6</c:f>
              <c:numCache>
                <c:formatCode>General</c:formatCode>
                <c:ptCount val="5"/>
                <c:pt idx="0">
                  <c:v>31.1</c:v>
                </c:pt>
                <c:pt idx="1">
                  <c:v>40.4</c:v>
                </c:pt>
                <c:pt idx="2">
                  <c:v>90.7</c:v>
                </c:pt>
                <c:pt idx="3">
                  <c:v>48.3</c:v>
                </c:pt>
                <c:pt idx="4">
                  <c:v>92.7</c:v>
                </c:pt>
              </c:numCache>
            </c:numRef>
          </c:val>
        </c:ser>
        <c:ser>
          <c:idx val="3"/>
          <c:order val="3"/>
          <c:tx>
            <c:strRef>
              <c:f>Sheet1!$E$1</c:f>
              <c:strCache>
                <c:ptCount val="1"/>
                <c:pt idx="0">
                  <c:v>Gürcüstan</c:v>
                </c:pt>
              </c:strCache>
            </c:strRef>
          </c:tx>
          <c:spPr>
            <a:solidFill>
              <a:schemeClr val="accent4"/>
            </a:solidFill>
            <a:ln>
              <a:noFill/>
            </a:ln>
            <a:effectLst/>
          </c:spPr>
          <c:invertIfNegative val="0"/>
          <c:dLbls>
            <c:dLbl>
              <c:idx val="3"/>
              <c:layout>
                <c:manualLayout>
                  <c:x val="-0.00925925925925917"/>
                  <c:y val="-0.023809523809523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Şəffaflıq</c:v>
                </c:pt>
                <c:pt idx="1">
                  <c:v>Hesabatlılıq</c:v>
                </c:pt>
                <c:pt idx="2">
                  <c:v>Qanunvericiliyin yekcinsliyi</c:v>
                </c:pt>
                <c:pt idx="3">
                  <c:v>Səmərəlilik </c:v>
                </c:pt>
                <c:pt idx="4">
                  <c:v>Rəqabətlilik</c:v>
                </c:pt>
              </c:strCache>
            </c:strRef>
          </c:cat>
          <c:val>
            <c:numRef>
              <c:f>Sheet1!$E$2:$E$6</c:f>
              <c:numCache>
                <c:formatCode>General</c:formatCode>
                <c:ptCount val="5"/>
                <c:pt idx="0">
                  <c:v>80.5</c:v>
                </c:pt>
                <c:pt idx="1">
                  <c:v>71.4</c:v>
                </c:pt>
                <c:pt idx="2">
                  <c:v>96.4</c:v>
                </c:pt>
                <c:pt idx="3">
                  <c:v>83.3</c:v>
                </c:pt>
                <c:pt idx="4">
                  <c:v>88.0</c:v>
                </c:pt>
              </c:numCache>
            </c:numRef>
          </c:val>
        </c:ser>
        <c:ser>
          <c:idx val="4"/>
          <c:order val="4"/>
          <c:tx>
            <c:strRef>
              <c:f>Sheet1!$F$1</c:f>
              <c:strCache>
                <c:ptCount val="1"/>
                <c:pt idx="0">
                  <c:v>Moldova</c:v>
                </c:pt>
              </c:strCache>
            </c:strRef>
          </c:tx>
          <c:spPr>
            <a:solidFill>
              <a:schemeClr val="accent5"/>
            </a:solidFill>
            <a:ln>
              <a:noFill/>
            </a:ln>
            <a:effectLst/>
          </c:spPr>
          <c:invertIfNegative val="0"/>
          <c:dLbls>
            <c:dLbl>
              <c:idx val="4"/>
              <c:layout>
                <c:manualLayout>
                  <c:x val="0.00925925925925909"/>
                  <c:y val="-0.083333333333333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Şəffaflıq</c:v>
                </c:pt>
                <c:pt idx="1">
                  <c:v>Hesabatlılıq</c:v>
                </c:pt>
                <c:pt idx="2">
                  <c:v>Qanunvericiliyin yekcinsliyi</c:v>
                </c:pt>
                <c:pt idx="3">
                  <c:v>Səmərəlilik </c:v>
                </c:pt>
                <c:pt idx="4">
                  <c:v>Rəqabətlilik</c:v>
                </c:pt>
              </c:strCache>
            </c:strRef>
          </c:cat>
          <c:val>
            <c:numRef>
              <c:f>Sheet1!$F$2:$F$6</c:f>
              <c:numCache>
                <c:formatCode>General</c:formatCode>
                <c:ptCount val="5"/>
                <c:pt idx="0">
                  <c:v>36.9</c:v>
                </c:pt>
                <c:pt idx="1">
                  <c:v>100.0</c:v>
                </c:pt>
                <c:pt idx="2">
                  <c:v>87.5</c:v>
                </c:pt>
                <c:pt idx="3">
                  <c:v>77.5</c:v>
                </c:pt>
                <c:pt idx="4">
                  <c:v>86.5</c:v>
                </c:pt>
              </c:numCache>
            </c:numRef>
          </c:val>
        </c:ser>
        <c:ser>
          <c:idx val="5"/>
          <c:order val="5"/>
          <c:tx>
            <c:strRef>
              <c:f>Sheet1!$G$1</c:f>
              <c:strCache>
                <c:ptCount val="1"/>
                <c:pt idx="0">
                  <c:v>Ukrayna</c:v>
                </c:pt>
              </c:strCache>
            </c:strRef>
          </c:tx>
          <c:spPr>
            <a:solidFill>
              <a:schemeClr val="accent6"/>
            </a:solidFill>
            <a:ln>
              <a:noFill/>
            </a:ln>
            <a:effectLst/>
          </c:spPr>
          <c:invertIfNegative val="0"/>
          <c:dLbls>
            <c:dLbl>
              <c:idx val="2"/>
              <c:layout>
                <c:manualLayout>
                  <c:x val="0.037037037037037"/>
                  <c:y val="-0.015873015873015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0185185185185184"/>
                  <c:y val="-0.031746031746031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0208333333333333"/>
                  <c:y val="-0.00396825396825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Şəffaflıq</c:v>
                </c:pt>
                <c:pt idx="1">
                  <c:v>Hesabatlılıq</c:v>
                </c:pt>
                <c:pt idx="2">
                  <c:v>Qanunvericiliyin yekcinsliyi</c:v>
                </c:pt>
                <c:pt idx="3">
                  <c:v>Səmərəlilik </c:v>
                </c:pt>
                <c:pt idx="4">
                  <c:v>Rəqabətlilik</c:v>
                </c:pt>
              </c:strCache>
            </c:strRef>
          </c:cat>
          <c:val>
            <c:numRef>
              <c:f>Sheet1!$G$2:$G$6</c:f>
              <c:numCache>
                <c:formatCode>General</c:formatCode>
                <c:ptCount val="5"/>
                <c:pt idx="0">
                  <c:v>88.3</c:v>
                </c:pt>
                <c:pt idx="1">
                  <c:v>70.1</c:v>
                </c:pt>
                <c:pt idx="2">
                  <c:v>92.5</c:v>
                </c:pt>
                <c:pt idx="3">
                  <c:v>80.0</c:v>
                </c:pt>
                <c:pt idx="4">
                  <c:v>94.66</c:v>
                </c:pt>
              </c:numCache>
            </c:numRef>
          </c:val>
        </c:ser>
        <c:dLbls>
          <c:dLblPos val="outEnd"/>
          <c:showLegendKey val="0"/>
          <c:showVal val="1"/>
          <c:showCatName val="0"/>
          <c:showSerName val="0"/>
          <c:showPercent val="0"/>
          <c:showBubbleSize val="0"/>
        </c:dLbls>
        <c:gapWidth val="219"/>
        <c:overlap val="-27"/>
        <c:axId val="-1801617616"/>
        <c:axId val="-1801613296"/>
      </c:barChart>
      <c:catAx>
        <c:axId val="-180161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1613296"/>
        <c:crosses val="autoZero"/>
        <c:auto val="1"/>
        <c:lblAlgn val="ctr"/>
        <c:lblOffset val="100"/>
        <c:noMultiLvlLbl val="0"/>
      </c:catAx>
      <c:valAx>
        <c:axId val="-180161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161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z-Latn-AZ" sz="1400" i="1">
                <a:latin typeface="Times New Roman" panose="02020603050405020304" pitchFamily="18" charset="0"/>
                <a:cs typeface="Times New Roman" panose="02020603050405020304" pitchFamily="18" charset="0"/>
              </a:rPr>
              <a:t>Diaqram</a:t>
            </a:r>
            <a:r>
              <a:rPr lang="az-Latn-AZ" sz="1400" i="1" baseline="0">
                <a:latin typeface="Times New Roman" panose="02020603050405020304" pitchFamily="18" charset="0"/>
                <a:cs typeface="Times New Roman" panose="02020603050405020304" pitchFamily="18" charset="0"/>
              </a:rPr>
              <a:t> 2: </a:t>
            </a:r>
            <a:r>
              <a:rPr lang="az-Latn-AZ" sz="1400" i="1">
                <a:latin typeface="Times New Roman" panose="02020603050405020304" pitchFamily="18" charset="0"/>
                <a:cs typeface="Times New Roman" panose="02020603050405020304" pitchFamily="18" charset="0"/>
              </a:rPr>
              <a:t>Bir mənbədən satınalma metodu tətbiq edilməklə bağlanmış müqavilələr, faizlə, 2015-ci il</a:t>
            </a:r>
            <a:endParaRPr lang="en-US" sz="1400" i="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Bir mənbədən satınalma metodu tətbiq edilməklə bağlanmış müqavilələrin ümumi sayda payı, faizlə</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Xidmətlər</c:v>
                </c:pt>
                <c:pt idx="1">
                  <c:v>Mallar</c:v>
                </c:pt>
                <c:pt idx="2">
                  <c:v>Tikinti</c:v>
                </c:pt>
              </c:strCache>
            </c:strRef>
          </c:cat>
          <c:val>
            <c:numRef>
              <c:f>Sheet1!$B$2:$B$4</c:f>
              <c:numCache>
                <c:formatCode>General</c:formatCode>
                <c:ptCount val="3"/>
                <c:pt idx="0">
                  <c:v>41.4</c:v>
                </c:pt>
                <c:pt idx="1">
                  <c:v>11.7</c:v>
                </c:pt>
                <c:pt idx="2">
                  <c:v>46.9</c:v>
                </c:pt>
              </c:numCache>
            </c:numRef>
          </c:val>
        </c:ser>
        <c:ser>
          <c:idx val="1"/>
          <c:order val="1"/>
          <c:tx>
            <c:strRef>
              <c:f>Sheet1!$C$1</c:f>
              <c:strCache>
                <c:ptCount val="1"/>
                <c:pt idx="0">
                  <c:v>Bir mənbədən satınalma metodu tətbiq edilməklə bağlanmış müqavilələrin ümumi məbləğdə payı, faizlə</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Xidmətlər</c:v>
                </c:pt>
                <c:pt idx="1">
                  <c:v>Mallar</c:v>
                </c:pt>
                <c:pt idx="2">
                  <c:v>Tikinti</c:v>
                </c:pt>
              </c:strCache>
            </c:strRef>
          </c:cat>
          <c:val>
            <c:numRef>
              <c:f>Sheet1!$C$2:$C$4</c:f>
              <c:numCache>
                <c:formatCode>General</c:formatCode>
                <c:ptCount val="3"/>
                <c:pt idx="0">
                  <c:v>2.1</c:v>
                </c:pt>
                <c:pt idx="1">
                  <c:v>3.4</c:v>
                </c:pt>
                <c:pt idx="2">
                  <c:v>94.5</c:v>
                </c:pt>
              </c:numCache>
            </c:numRef>
          </c:val>
        </c:ser>
        <c:dLbls>
          <c:dLblPos val="inEnd"/>
          <c:showLegendKey val="0"/>
          <c:showVal val="1"/>
          <c:showCatName val="0"/>
          <c:showSerName val="0"/>
          <c:showPercent val="0"/>
          <c:showBubbleSize val="0"/>
        </c:dLbls>
        <c:gapWidth val="65"/>
        <c:axId val="-1801567520"/>
        <c:axId val="-1801563392"/>
      </c:barChart>
      <c:catAx>
        <c:axId val="-18015675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01563392"/>
        <c:crosses val="autoZero"/>
        <c:auto val="1"/>
        <c:lblAlgn val="ctr"/>
        <c:lblOffset val="100"/>
        <c:noMultiLvlLbl val="0"/>
      </c:catAx>
      <c:valAx>
        <c:axId val="-18015633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015675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z-Latn-AZ" sz="1600" i="1">
                <a:latin typeface="Times New Roman" panose="02020603050405020304" pitchFamily="18" charset="0"/>
                <a:cs typeface="Times New Roman" panose="02020603050405020304" pitchFamily="18" charset="0"/>
              </a:rPr>
              <a:t>Diaqram 3:</a:t>
            </a:r>
            <a:r>
              <a:rPr lang="az-Latn-AZ" sz="1600" i="1" baseline="0">
                <a:latin typeface="Times New Roman" panose="02020603050405020304" pitchFamily="18" charset="0"/>
                <a:cs typeface="Times New Roman" panose="02020603050405020304" pitchFamily="18" charset="0"/>
              </a:rPr>
              <a:t> </a:t>
            </a:r>
            <a:r>
              <a:rPr lang="az-Latn-AZ" sz="1600" i="1">
                <a:latin typeface="Times New Roman" panose="02020603050405020304" pitchFamily="18" charset="0"/>
                <a:cs typeface="Times New Roman" panose="02020603050405020304" pitchFamily="18" charset="0"/>
              </a:rPr>
              <a:t>Satınalma metodları üzrə pay, faizlə, 2015-ci il </a:t>
            </a:r>
            <a:endParaRPr lang="en-US" sz="1600" i="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Müqavilələrin sayında</c:v>
                </c:pt>
              </c:strCache>
            </c:strRef>
          </c:tx>
          <c:spPr>
            <a:solidFill>
              <a:schemeClr val="accent6"/>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Açıq tender</c:v>
                </c:pt>
                <c:pt idx="1">
                  <c:v>Kotirovka sorğusu</c:v>
                </c:pt>
                <c:pt idx="2">
                  <c:v>Təkliflər sorğusu</c:v>
                </c:pt>
                <c:pt idx="3">
                  <c:v>Bir mənbədən satınalma</c:v>
                </c:pt>
                <c:pt idx="4">
                  <c:v>Satınalma proseduru tətbiq edilmədən satınalma</c:v>
                </c:pt>
              </c:strCache>
            </c:strRef>
          </c:cat>
          <c:val>
            <c:numRef>
              <c:f>Sheet1!$B$2:$B$6</c:f>
              <c:numCache>
                <c:formatCode>General</c:formatCode>
                <c:ptCount val="5"/>
                <c:pt idx="0">
                  <c:v>10.8</c:v>
                </c:pt>
                <c:pt idx="1">
                  <c:v>37.3</c:v>
                </c:pt>
                <c:pt idx="2">
                  <c:v>8.3</c:v>
                </c:pt>
                <c:pt idx="3">
                  <c:v>43.7</c:v>
                </c:pt>
                <c:pt idx="4">
                  <c:v>0.0</c:v>
                </c:pt>
              </c:numCache>
            </c:numRef>
          </c:val>
        </c:ser>
        <c:ser>
          <c:idx val="1"/>
          <c:order val="1"/>
          <c:tx>
            <c:strRef>
              <c:f>Sheet1!$C$1</c:f>
              <c:strCache>
                <c:ptCount val="1"/>
                <c:pt idx="0">
                  <c:v>Müqavilələrin məbləğində</c:v>
                </c:pt>
              </c:strCache>
            </c:strRef>
          </c:tx>
          <c:spPr>
            <a:solidFill>
              <a:srgbClr val="00B0F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Açıq tender</c:v>
                </c:pt>
                <c:pt idx="1">
                  <c:v>Kotirovka sorğusu</c:v>
                </c:pt>
                <c:pt idx="2">
                  <c:v>Təkliflər sorğusu</c:v>
                </c:pt>
                <c:pt idx="3">
                  <c:v>Bir mənbədən satınalma</c:v>
                </c:pt>
                <c:pt idx="4">
                  <c:v>Satınalma proseduru tətbiq edilmədən satınalma</c:v>
                </c:pt>
              </c:strCache>
            </c:strRef>
          </c:cat>
          <c:val>
            <c:numRef>
              <c:f>Sheet1!$C$2:$C$6</c:f>
              <c:numCache>
                <c:formatCode>General</c:formatCode>
                <c:ptCount val="5"/>
                <c:pt idx="0">
                  <c:v>14.0</c:v>
                </c:pt>
                <c:pt idx="1">
                  <c:v>1.0</c:v>
                </c:pt>
                <c:pt idx="2">
                  <c:v>3.0</c:v>
                </c:pt>
                <c:pt idx="3">
                  <c:v>77.8</c:v>
                </c:pt>
                <c:pt idx="4">
                  <c:v>4.2</c:v>
                </c:pt>
              </c:numCache>
            </c:numRef>
          </c:val>
        </c:ser>
        <c:dLbls>
          <c:dLblPos val="inEnd"/>
          <c:showLegendKey val="0"/>
          <c:showVal val="1"/>
          <c:showCatName val="0"/>
          <c:showSerName val="0"/>
          <c:showPercent val="0"/>
          <c:showBubbleSize val="0"/>
        </c:dLbls>
        <c:gapWidth val="65"/>
        <c:axId val="-1801499584"/>
        <c:axId val="-1801495456"/>
      </c:barChart>
      <c:catAx>
        <c:axId val="-1801499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01495456"/>
        <c:crosses val="autoZero"/>
        <c:auto val="1"/>
        <c:lblAlgn val="ctr"/>
        <c:lblOffset val="100"/>
        <c:noMultiLvlLbl val="0"/>
      </c:catAx>
      <c:valAx>
        <c:axId val="-18014954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014995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300" b="1" i="1">
                <a:latin typeface="Times New Roman" panose="02020603050405020304" pitchFamily="18" charset="0"/>
                <a:cs typeface="Times New Roman" panose="02020603050405020304" pitchFamily="18" charset="0"/>
              </a:rPr>
              <a:t>Diaqram 4: Requlyator tərəfindən qəbul edilmiş şikayətlərin sayı, 2007-2015</a:t>
            </a:r>
            <a:r>
              <a:rPr lang="az-Latn-AZ" sz="1300" b="1" i="1">
                <a:latin typeface="Times New Roman" panose="02020603050405020304" pitchFamily="18" charset="0"/>
                <a:cs typeface="Times New Roman" panose="02020603050405020304" pitchFamily="18" charset="0"/>
              </a:rPr>
              <a:t>-ci illər</a:t>
            </a:r>
            <a:endParaRPr lang="en-US" sz="1300" b="1" i="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Requlyator tərəfindən qəbul edilmiş şikayətlərin sayı, 2007-2015</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Sheet1!$A$2:$A$9</c:f>
              <c:numCache>
                <c:formatCode>General</c:formatCode>
                <c:ptCount val="8"/>
                <c:pt idx="0">
                  <c:v>2007.0</c:v>
                </c:pt>
                <c:pt idx="1">
                  <c:v>2008.0</c:v>
                </c:pt>
                <c:pt idx="2">
                  <c:v>2009.0</c:v>
                </c:pt>
                <c:pt idx="3">
                  <c:v>2011.0</c:v>
                </c:pt>
                <c:pt idx="4">
                  <c:v>2012.0</c:v>
                </c:pt>
                <c:pt idx="5">
                  <c:v>2013.0</c:v>
                </c:pt>
                <c:pt idx="6">
                  <c:v>2014.0</c:v>
                </c:pt>
                <c:pt idx="7">
                  <c:v>2015.0</c:v>
                </c:pt>
              </c:numCache>
            </c:numRef>
          </c:cat>
          <c:val>
            <c:numRef>
              <c:f>Sheet1!$B$2:$B$9</c:f>
              <c:numCache>
                <c:formatCode>General</c:formatCode>
                <c:ptCount val="8"/>
                <c:pt idx="0">
                  <c:v>15.0</c:v>
                </c:pt>
                <c:pt idx="1">
                  <c:v>20.0</c:v>
                </c:pt>
                <c:pt idx="2">
                  <c:v>32.0</c:v>
                </c:pt>
                <c:pt idx="3">
                  <c:v>24.0</c:v>
                </c:pt>
                <c:pt idx="4">
                  <c:v>35.0</c:v>
                </c:pt>
                <c:pt idx="5">
                  <c:v>8.0</c:v>
                </c:pt>
                <c:pt idx="6">
                  <c:v>55.0</c:v>
                </c:pt>
                <c:pt idx="7">
                  <c:v>24.0</c:v>
                </c:pt>
              </c:numCache>
            </c:numRef>
          </c:val>
          <c:smooth val="0"/>
        </c:ser>
        <c:dLbls>
          <c:dLblPos val="ctr"/>
          <c:showLegendKey val="0"/>
          <c:showVal val="1"/>
          <c:showCatName val="0"/>
          <c:showSerName val="0"/>
          <c:showPercent val="0"/>
          <c:showBubbleSize val="0"/>
        </c:dLbls>
        <c:marker val="1"/>
        <c:smooth val="0"/>
        <c:axId val="-1856841120"/>
        <c:axId val="-1856644992"/>
      </c:lineChart>
      <c:catAx>
        <c:axId val="-1856841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56644992"/>
        <c:crosses val="autoZero"/>
        <c:auto val="1"/>
        <c:lblAlgn val="ctr"/>
        <c:lblOffset val="100"/>
        <c:noMultiLvlLbl val="0"/>
      </c:catAx>
      <c:valAx>
        <c:axId val="-18566449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568411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300" b="1" i="1">
                <a:latin typeface="Times New Roman" panose="02020603050405020304" pitchFamily="18" charset="0"/>
                <a:cs typeface="Times New Roman" panose="02020603050405020304" pitchFamily="18" charset="0"/>
              </a:rPr>
              <a:t>Diaqram 5: Şikayətlərin satınalma müqavilələrinin ümumi sayında payı, faizlə, 2007-2015</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Şikayətlərin satınalma müqavilələrinin ümumi sayında payı, faizlə, 2007-2015</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Sheet1!$A$2:$A$9</c:f>
              <c:numCache>
                <c:formatCode>General</c:formatCode>
                <c:ptCount val="8"/>
                <c:pt idx="0">
                  <c:v>2007.0</c:v>
                </c:pt>
                <c:pt idx="1">
                  <c:v>2008.0</c:v>
                </c:pt>
                <c:pt idx="2">
                  <c:v>2009.0</c:v>
                </c:pt>
                <c:pt idx="3">
                  <c:v>2011.0</c:v>
                </c:pt>
                <c:pt idx="4">
                  <c:v>2012.0</c:v>
                </c:pt>
                <c:pt idx="5">
                  <c:v>2013.0</c:v>
                </c:pt>
                <c:pt idx="6">
                  <c:v>2014.0</c:v>
                </c:pt>
                <c:pt idx="7">
                  <c:v>2015.0</c:v>
                </c:pt>
              </c:numCache>
            </c:numRef>
          </c:cat>
          <c:val>
            <c:numRef>
              <c:f>Sheet1!$B$2:$B$9</c:f>
              <c:numCache>
                <c:formatCode>General</c:formatCode>
                <c:ptCount val="8"/>
                <c:pt idx="0">
                  <c:v>0.18</c:v>
                </c:pt>
                <c:pt idx="1">
                  <c:v>0.23</c:v>
                </c:pt>
                <c:pt idx="2">
                  <c:v>0.33</c:v>
                </c:pt>
                <c:pt idx="3">
                  <c:v>0.19</c:v>
                </c:pt>
                <c:pt idx="4">
                  <c:v>0.25</c:v>
                </c:pt>
                <c:pt idx="5">
                  <c:v>0.07</c:v>
                </c:pt>
                <c:pt idx="6">
                  <c:v>0.58</c:v>
                </c:pt>
                <c:pt idx="7">
                  <c:v>0.29</c:v>
                </c:pt>
              </c:numCache>
            </c:numRef>
          </c:val>
          <c:smooth val="0"/>
        </c:ser>
        <c:dLbls>
          <c:dLblPos val="ctr"/>
          <c:showLegendKey val="0"/>
          <c:showVal val="1"/>
          <c:showCatName val="0"/>
          <c:showSerName val="0"/>
          <c:showPercent val="0"/>
          <c:showBubbleSize val="0"/>
        </c:dLbls>
        <c:marker val="1"/>
        <c:smooth val="0"/>
        <c:axId val="-1845414464"/>
        <c:axId val="-1856237184"/>
      </c:lineChart>
      <c:catAx>
        <c:axId val="-18454144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56237184"/>
        <c:crosses val="autoZero"/>
        <c:auto val="1"/>
        <c:lblAlgn val="ctr"/>
        <c:lblOffset val="100"/>
        <c:noMultiLvlLbl val="0"/>
      </c:catAx>
      <c:valAx>
        <c:axId val="-18562371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454144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3328-70D8-AF42-B0E2-722B507D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2047</Words>
  <Characters>11674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dcterms:created xsi:type="dcterms:W3CDTF">2017-05-22T18:05:00Z</dcterms:created>
  <dcterms:modified xsi:type="dcterms:W3CDTF">2017-05-23T04:45:00Z</dcterms:modified>
</cp:coreProperties>
</file>